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ГАРАНТИЙНОЕ СОГЛАШЕНИЕ </w:t>
      </w:r>
      <w:r/>
    </w:p>
    <w:p>
      <w:pPr>
        <w:pStyle w:val="6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27"/>
        <w:numPr>
          <w:ilvl w:val="0"/>
          <w:numId w:val="11"/>
        </w:numPr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Гарантийные обязательства Продавца (Производителя)</w:t>
      </w:r>
      <w:r/>
    </w:p>
    <w:p>
      <w:pPr>
        <w:pStyle w:val="626"/>
        <w:numPr>
          <w:ilvl w:val="1"/>
          <w:numId w:val="3"/>
        </w:numPr>
        <w:ind w:left="720" w:hanging="720"/>
        <w:jc w:val="both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Гарантийный период на автомобили.</w:t>
      </w:r>
      <w:r/>
    </w:p>
    <w:p>
      <w:pPr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Гарантийный период на</w:t>
      </w:r>
      <w:r>
        <w:rPr>
          <w:sz w:val="22"/>
          <w:szCs w:val="22"/>
        </w:rPr>
        <w:t xml:space="preserve"> новый автомобиль распространяется (при ограничении действия гарантии на отельные детали, узлы и лакокрасочное покрытие согласно условиям обозначенных в настоящем соглашении) на любые дефекты, причиной которых является неправильное изготовление или сборка:</w:t>
      </w:r>
      <w:r/>
    </w:p>
    <w:p>
      <w:pPr>
        <w:numPr>
          <w:ilvl w:val="0"/>
          <w:numId w:val="2"/>
        </w:numPr>
        <w:contextualSpacing w:val="true"/>
        <w:jc w:val="both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новых автомобилей </w:t>
      </w:r>
      <w:r>
        <w:rPr>
          <w:b/>
          <w:sz w:val="22"/>
          <w:szCs w:val="22"/>
          <w:lang w:val="en-US"/>
        </w:rPr>
        <w:t xml:space="preserve">JAC</w:t>
      </w:r>
      <w:r>
        <w:rPr>
          <w:b/>
          <w:sz w:val="22"/>
          <w:szCs w:val="22"/>
        </w:rPr>
        <w:t xml:space="preserve">, гарантийный период составляет</w:t>
      </w:r>
      <w:r/>
    </w:p>
    <w:p>
      <w:pPr>
        <w:pStyle w:val="626"/>
        <w:numPr>
          <w:ilvl w:val="1"/>
          <w:numId w:val="2"/>
        </w:numPr>
        <w:contextualSpacing w:val="false"/>
        <w:ind w:right="7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Срок действия гарантии, в зависимости, что наступит раньше, составляет:</w:t>
      </w:r>
      <w:r/>
    </w:p>
    <w:p>
      <w:pPr>
        <w:pStyle w:val="626"/>
        <w:ind w:left="1440" w:right="70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6394" w:type="dxa"/>
        <w:tblInd w:w="966" w:type="dxa"/>
        <w:tblLook w:val="04A0" w:firstRow="1" w:lastRow="0" w:firstColumn="1" w:lastColumn="0" w:noHBand="0" w:noVBand="1"/>
      </w:tblPr>
      <w:tblGrid>
        <w:gridCol w:w="2332"/>
        <w:gridCol w:w="944"/>
        <w:gridCol w:w="992"/>
        <w:gridCol w:w="992"/>
        <w:gridCol w:w="1134"/>
      </w:tblGrid>
      <w:tr>
        <w:trPr>
          <w:trHeight w:val="270"/>
        </w:trPr>
        <w:tc>
          <w:tcPr>
            <w:gridSpan w:val="5"/>
            <w:shd w:val="clear" w:fill="auto" w:color="auto"/>
            <w:tcBorders>
              <w:left w:val="single" w:sz="8" w:space="0" w:color="auto"/>
              <w:top w:val="single" w:sz="8" w:space="0" w:color="auto"/>
              <w:right w:val="single" w:color="000000" w:sz="8" w:space="0"/>
              <w:bottom w:val="none" w:color="000000" w:sz="4" w:space="0"/>
            </w:tcBorders>
            <w:tcW w:w="63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Легковой автомобиль</w:t>
            </w:r>
            <w:r/>
          </w:p>
        </w:tc>
      </w:tr>
      <w:tr>
        <w:trPr>
          <w:trHeight w:val="39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Модель </w:t>
            </w:r>
            <w:r/>
          </w:p>
        </w:tc>
        <w:tc>
          <w:tcPr>
            <w:gridSpan w:val="4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 (время или пробег - месяц / км)</w:t>
            </w:r>
            <w:r/>
          </w:p>
        </w:tc>
      </w:tr>
      <w:tr>
        <w:trPr>
          <w:trHeight w:val="25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3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S3/S5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J5/J6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J3/J4</w:t>
            </w:r>
            <w:r/>
          </w:p>
        </w:tc>
      </w:tr>
      <w:tr>
        <w:trPr>
          <w:trHeight w:val="227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33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некоммерческого использования</w:t>
            </w:r>
            <w:r/>
          </w:p>
        </w:tc>
        <w:tc>
          <w:tcPr>
            <w:gridSpan w:val="4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 xml:space="preserve">мес</w:t>
            </w:r>
            <w:r>
              <w:rPr>
                <w:sz w:val="22"/>
                <w:szCs w:val="22"/>
              </w:rPr>
              <w:t xml:space="preserve"> / 100 000 км</w:t>
            </w:r>
            <w:r/>
          </w:p>
        </w:tc>
      </w:tr>
      <w:tr>
        <w:trPr>
          <w:trHeight w:val="22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33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коммерческого использования</w:t>
            </w:r>
            <w:r/>
          </w:p>
        </w:tc>
        <w:tc>
          <w:tcPr>
            <w:gridSpan w:val="4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 xml:space="preserve">мес</w:t>
            </w:r>
            <w:r>
              <w:rPr>
                <w:sz w:val="22"/>
                <w:szCs w:val="22"/>
              </w:rPr>
              <w:t xml:space="preserve"> /100 000 км</w:t>
            </w:r>
            <w:r/>
          </w:p>
        </w:tc>
      </w:tr>
    </w:tbl>
    <w:p>
      <w:pPr>
        <w:pStyle w:val="626"/>
        <w:ind w:left="1440" w:right="70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6394" w:type="dxa"/>
        <w:tblInd w:w="96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1134"/>
      </w:tblGrid>
      <w:tr>
        <w:trPr>
          <w:trHeight w:val="255"/>
        </w:trPr>
        <w:tc>
          <w:tcPr>
            <w:gridSpan w:val="5"/>
            <w:shd w:val="clear" w:fill="auto" w:color="auto"/>
            <w:tcW w:w="63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Коммерческий автомобиль</w:t>
            </w:r>
            <w:r/>
          </w:p>
        </w:tc>
      </w:tr>
      <w:tr>
        <w:trPr>
          <w:trHeight w:val="390"/>
        </w:trPr>
        <w:tc>
          <w:tcPr>
            <w:shd w:val="clear" w:fill="auto" w:color="auto"/>
            <w:tcW w:w="228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Транспортное средство</w:t>
            </w:r>
            <w:r/>
          </w:p>
        </w:tc>
        <w:tc>
          <w:tcPr>
            <w:gridSpan w:val="4"/>
            <w:shd w:val="clear" w:fill="auto" w:color="auto"/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 (время или пробег - месяц / км)</w:t>
            </w:r>
            <w:r/>
          </w:p>
        </w:tc>
      </w:tr>
      <w:tr>
        <w:trPr>
          <w:trHeight w:val="183"/>
        </w:trPr>
        <w:tc>
          <w:tcPr>
            <w:tcW w:w="22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LCV</w:t>
            </w:r>
            <w:r/>
          </w:p>
        </w:tc>
        <w:tc>
          <w:tcPr>
            <w:shd w:val="clear" w:fill="auto" w:color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MT/HT </w:t>
            </w:r>
            <w:r/>
          </w:p>
        </w:tc>
        <w:tc>
          <w:tcPr>
            <w:shd w:val="clear" w:fill="auto" w:color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Pickup</w:t>
            </w:r>
            <w:r/>
          </w:p>
        </w:tc>
        <w:tc>
          <w:tcPr>
            <w:shd w:val="clear" w:fill="auto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Mini-truck</w:t>
            </w:r>
            <w:r/>
          </w:p>
        </w:tc>
      </w:tr>
      <w:tr>
        <w:trPr>
          <w:trHeight w:val="480"/>
        </w:trPr>
        <w:tc>
          <w:tcPr>
            <w:shd w:val="clear" w:fill="auto" w:color="auto"/>
            <w:tcW w:w="228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период </w:t>
            </w:r>
            <w:r/>
          </w:p>
        </w:tc>
        <w:tc>
          <w:tcPr>
            <w:shd w:val="clear" w:fill="auto" w:color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36мес /</w:t>
            </w:r>
            <w:r/>
          </w:p>
          <w:p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200 000 км</w:t>
            </w:r>
            <w:r/>
          </w:p>
        </w:tc>
        <w:tc>
          <w:tcPr>
            <w:shd w:val="clear" w:fill="auto" w:color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 xml:space="preserve">мес</w:t>
            </w:r>
            <w:r>
              <w:rPr>
                <w:sz w:val="22"/>
                <w:szCs w:val="22"/>
              </w:rPr>
              <w:t xml:space="preserve"> /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100 000 км</w:t>
            </w:r>
            <w:r/>
          </w:p>
        </w:tc>
        <w:tc>
          <w:tcPr>
            <w:shd w:val="clear" w:fill="auto" w:color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24мес/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60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  <w:lang w:val="en-US"/>
              </w:rPr>
              <w:t xml:space="preserve">000км</w:t>
            </w:r>
            <w:r/>
          </w:p>
        </w:tc>
        <w:tc>
          <w:tcPr>
            <w:shd w:val="clear" w:fill="auto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24мес / </w:t>
            </w:r>
            <w:r>
              <w:rPr>
                <w:sz w:val="22"/>
                <w:szCs w:val="22"/>
              </w:rPr>
              <w:br/>
              <w:t xml:space="preserve">100 000 км</w:t>
            </w:r>
            <w:r/>
          </w:p>
        </w:tc>
      </w:tr>
    </w:tbl>
    <w:p>
      <w:pPr>
        <w:contextualSpacing w:val="true"/>
        <w:ind w:left="1593"/>
        <w:jc w:val="both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tbl>
      <w:tblPr>
        <w:tblW w:w="6432" w:type="dxa"/>
        <w:tblInd w:w="966" w:type="dxa"/>
        <w:tblLook w:val="04A0" w:firstRow="1" w:lastRow="0" w:firstColumn="1" w:lastColumn="0" w:noHBand="0" w:noVBand="1"/>
      </w:tblPr>
      <w:tblGrid>
        <w:gridCol w:w="1858"/>
        <w:gridCol w:w="718"/>
        <w:gridCol w:w="718"/>
        <w:gridCol w:w="864"/>
        <w:gridCol w:w="840"/>
        <w:gridCol w:w="718"/>
        <w:gridCol w:w="840"/>
      </w:tblGrid>
      <w:tr>
        <w:trPr>
          <w:trHeight w:val="353"/>
        </w:trPr>
        <w:tc>
          <w:tcPr>
            <w:gridSpan w:val="7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Электрический легковой Автомобиль</w:t>
            </w:r>
            <w:r/>
          </w:p>
        </w:tc>
      </w:tr>
      <w:tr>
        <w:trPr>
          <w:trHeight w:val="372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</w:t>
            </w:r>
            <w:r/>
          </w:p>
        </w:tc>
        <w:tc>
          <w:tcPr>
            <w:gridSpan w:val="6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 (время или пробег - месяц / км)</w:t>
            </w:r>
            <w:r/>
          </w:p>
        </w:tc>
      </w:tr>
      <w:tr>
        <w:trPr>
          <w:trHeight w:val="255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IEV4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IEV5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IEV6E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IEV6S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IEV7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IEV7S</w:t>
            </w:r>
            <w:r/>
          </w:p>
        </w:tc>
      </w:tr>
      <w:tr>
        <w:trPr>
          <w:trHeight w:val="292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4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некоммерческого использования</w:t>
            </w:r>
            <w:r/>
          </w:p>
        </w:tc>
        <w:tc>
          <w:tcPr>
            <w:gridSpan w:val="6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 xml:space="preserve">мес</w:t>
            </w:r>
            <w:r>
              <w:rPr>
                <w:sz w:val="22"/>
                <w:szCs w:val="22"/>
              </w:rPr>
              <w:t xml:space="preserve"> / 100 000 км</w:t>
            </w:r>
            <w:r/>
          </w:p>
        </w:tc>
      </w:tr>
      <w:tr>
        <w:trPr>
          <w:trHeight w:val="287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4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коммерческого использования</w:t>
            </w:r>
            <w:r/>
          </w:p>
        </w:tc>
        <w:tc>
          <w:tcPr>
            <w:gridSpan w:val="6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 xml:space="preserve">мес</w:t>
            </w:r>
            <w:r>
              <w:rPr>
                <w:sz w:val="22"/>
                <w:szCs w:val="22"/>
              </w:rPr>
              <w:t xml:space="preserve"> / 100 000 км</w:t>
            </w:r>
            <w:r/>
          </w:p>
        </w:tc>
      </w:tr>
    </w:tbl>
    <w:p>
      <w:pPr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tbl>
      <w:tblPr>
        <w:tblW w:w="6394" w:type="dxa"/>
        <w:tblInd w:w="966" w:type="dxa"/>
        <w:tblLook w:val="04A0" w:firstRow="1" w:lastRow="0" w:firstColumn="1" w:lastColumn="0" w:noHBand="0" w:noVBand="1"/>
      </w:tblPr>
      <w:tblGrid>
        <w:gridCol w:w="2283"/>
        <w:gridCol w:w="4111"/>
      </w:tblGrid>
      <w:tr>
        <w:trPr>
          <w:trHeight w:val="255"/>
        </w:trPr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Электрический Коммерческий Автомобиль</w:t>
            </w:r>
            <w:r/>
          </w:p>
        </w:tc>
      </w:tr>
      <w:tr>
        <w:trPr>
          <w:trHeight w:val="25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Транспортное средство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 (время или пробег - месяц / км)</w:t>
            </w:r>
            <w:r/>
          </w:p>
        </w:tc>
      </w:tr>
      <w:tr>
        <w:trPr>
          <w:trHeight w:val="255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I3</w:t>
            </w:r>
            <w:r/>
          </w:p>
        </w:tc>
      </w:tr>
      <w:tr>
        <w:trPr>
          <w:trHeight w:val="27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8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период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24мес/60000км</w:t>
            </w:r>
            <w:r/>
          </w:p>
        </w:tc>
      </w:tr>
    </w:tbl>
    <w:p>
      <w:pPr>
        <w:contextualSpacing w:val="true"/>
        <w:ind w:left="720"/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6"/>
        <w:numPr>
          <w:ilvl w:val="0"/>
          <w:numId w:val="2"/>
        </w:numPr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Все права Покупателя (Собственника) на гарантийный ремонт автомобиля теряют силу с завершением гарантийного периода;</w:t>
      </w:r>
      <w:r/>
    </w:p>
    <w:p>
      <w:pPr>
        <w:pStyle w:val="626"/>
        <w:numPr>
          <w:ilvl w:val="0"/>
          <w:numId w:val="2"/>
        </w:numPr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Гарантийные обязательства Продавца вступают в силу с момента оформления сервисной книжки и подписания сторонами Акта приёма-передачи транспортных средств; </w:t>
      </w:r>
      <w:r/>
    </w:p>
    <w:p>
      <w:pPr>
        <w:pStyle w:val="626"/>
        <w:numPr>
          <w:ilvl w:val="0"/>
          <w:numId w:val="2"/>
        </w:numPr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смены Собственника гарантийный срок на Автомобиль определяется от даты его передачи (согласно Акта приёма-передачи) первому Покупателю, указанному в Сервисной книжке, и действует на протяжении установленного при первой продаже срока; </w:t>
      </w:r>
      <w:r/>
    </w:p>
    <w:p>
      <w:pPr>
        <w:pStyle w:val="626"/>
        <w:numPr>
          <w:ilvl w:val="0"/>
          <w:numId w:val="2"/>
        </w:numPr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Гарантийный ремонт, при выявлении заводских дефектов деталей, подтвержденных официальным дилером, осуществляется в зависимости от сложности ремонта, но не более:</w:t>
      </w:r>
      <w:r/>
    </w:p>
    <w:p>
      <w:pPr>
        <w:pStyle w:val="626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- 30 календарных дней при условии наличия всех запасных частей на складе дистрибуции;</w:t>
      </w:r>
      <w:r/>
    </w:p>
    <w:p>
      <w:pPr>
        <w:pStyle w:val="626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- 60 календарных дней с учетом доставки, при условии заказа запасных частей. </w:t>
      </w:r>
      <w:r/>
    </w:p>
    <w:p>
      <w:pPr>
        <w:pStyle w:val="626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Срок гарантийного ремонта исчисляется с момента приёма автомобиля на гарантийный ремонт, дилерским центром Продавца;</w:t>
      </w:r>
      <w:r/>
    </w:p>
    <w:p>
      <w:pPr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6"/>
        <w:numPr>
          <w:ilvl w:val="1"/>
          <w:numId w:val="3"/>
        </w:numPr>
        <w:ind w:hanging="644"/>
        <w:jc w:val="both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Гарантия на кузов автомобиля </w:t>
      </w:r>
      <w:r>
        <w:rPr>
          <w:b/>
          <w:sz w:val="22"/>
          <w:szCs w:val="22"/>
          <w:lang w:val="en-US"/>
        </w:rPr>
        <w:t xml:space="preserve">JAC</w:t>
      </w:r>
      <w:r>
        <w:rPr>
          <w:b/>
          <w:sz w:val="22"/>
          <w:szCs w:val="22"/>
        </w:rPr>
        <w:t xml:space="preserve">.</w:t>
      </w:r>
      <w:r/>
    </w:p>
    <w:p>
      <w:pPr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Устранение заводских дефектов лакокрасочного покрытия и сквозной гарантии (коррозии, направленной от внутренней стороны элемента кузова к наружной стороне) осуществляется после одобрения бренд-держателя </w:t>
      </w:r>
      <w:r>
        <w:rPr>
          <w:sz w:val="22"/>
          <w:szCs w:val="22"/>
          <w:lang w:val="en-US"/>
        </w:rPr>
        <w:t xml:space="preserve">JAC</w:t>
      </w:r>
      <w:r>
        <w:rPr>
          <w:sz w:val="22"/>
          <w:szCs w:val="22"/>
        </w:rPr>
        <w:t xml:space="preserve">.</w:t>
      </w:r>
      <w:r/>
    </w:p>
    <w:p>
      <w:pPr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numPr>
          <w:ilvl w:val="1"/>
          <w:numId w:val="3"/>
        </w:numPr>
        <w:contextualSpacing w:val="true"/>
        <w:ind w:hanging="644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Гарантийный период на отдельные узлы и детали автомобилей </w:t>
      </w:r>
      <w:r>
        <w:rPr>
          <w:b/>
          <w:sz w:val="22"/>
          <w:szCs w:val="22"/>
          <w:lang w:val="en-US"/>
        </w:rPr>
        <w:t xml:space="preserve">JAC</w:t>
      </w:r>
      <w:r>
        <w:rPr>
          <w:b/>
          <w:sz w:val="22"/>
          <w:szCs w:val="22"/>
        </w:rPr>
        <w:t xml:space="preserve"> (после истечения указанных пробегов, любой износ деталей определяется как естественный):</w:t>
      </w:r>
      <w:r/>
    </w:p>
    <w:p>
      <w:pPr>
        <w:contextualSpacing w:val="true"/>
        <w:ind w:left="644"/>
        <w:jc w:val="both"/>
        <w:tabs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12 месяцев или 30 000 км пробега в зависимости от того, что наступит ранее –</w:t>
      </w:r>
      <w:r>
        <w:rPr>
          <w:sz w:val="22"/>
          <w:szCs w:val="22"/>
        </w:rPr>
        <w:t xml:space="preserve">амортизаторы, все стекла автомобиля, резиновые прокладки, все разновидности масляных уплотнений, все разновидности подшипников, медиа-система, топливный насос, аккумуляторная батарея;</w:t>
      </w:r>
      <w:r/>
    </w:p>
    <w:p>
      <w:pPr>
        <w:contextualSpacing w:val="true"/>
        <w:ind w:left="644"/>
        <w:jc w:val="both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месяца или 8 000 км пробега в зависимости от того, что наступит ранее</w:t>
      </w:r>
      <w:r>
        <w:rPr>
          <w:sz w:val="22"/>
          <w:szCs w:val="22"/>
        </w:rPr>
        <w:t xml:space="preserve"> – все разновидности ремней и фильтров, нажимные диски сцепления, фрикционные накладки тормозных колодок, щетки стеклоочистителей, топливные форсунки, батареи устройств дистанционного управления.  </w:t>
      </w:r>
      <w:r/>
    </w:p>
    <w:p>
      <w:pPr>
        <w:contextualSpacing w:val="true"/>
        <w:ind w:left="567"/>
        <w:jc w:val="both"/>
        <w:tabs>
          <w:tab w:val="left" w:pos="0" w:leader="none"/>
        </w:tabs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  <w:r/>
    </w:p>
    <w:p>
      <w:pPr>
        <w:pStyle w:val="626"/>
        <w:numPr>
          <w:ilvl w:val="1"/>
          <w:numId w:val="3"/>
        </w:numPr>
        <w:ind w:hanging="644"/>
        <w:jc w:val="both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Гарантия не распространяется</w:t>
      </w:r>
      <w:r>
        <w:rPr>
          <w:b/>
          <w:sz w:val="22"/>
          <w:szCs w:val="22"/>
        </w:rPr>
        <w:t xml:space="preserve"> на отдельные узлы и детали, подвергающихся естественному износу, зависящему от интенсивности условий эксплуатации и стиля вождения владельца автомобиля </w:t>
      </w:r>
      <w:r>
        <w:rPr>
          <w:b/>
          <w:spacing w:val="-4"/>
          <w:sz w:val="22"/>
          <w:szCs w:val="22"/>
        </w:rPr>
        <w:t xml:space="preserve">и неблагоприятным воздействием окружающей среды</w:t>
      </w:r>
      <w:r>
        <w:rPr>
          <w:b/>
          <w:sz w:val="22"/>
          <w:szCs w:val="22"/>
        </w:rPr>
        <w:t xml:space="preserve">:</w:t>
      </w:r>
      <w:r/>
    </w:p>
    <w:p>
      <w:pPr>
        <w:numPr>
          <w:ilvl w:val="0"/>
          <w:numId w:val="7"/>
        </w:numPr>
        <w:contextualSpacing w:val="true"/>
        <w:ind w:left="900"/>
        <w:jc w:val="both"/>
        <w:tabs>
          <w:tab w:val="left" w:pos="0" w:leader="none"/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плавкие предохранител</w:t>
      </w:r>
      <w:r>
        <w:rPr>
          <w:sz w:val="22"/>
          <w:szCs w:val="22"/>
        </w:rPr>
        <w:t xml:space="preserve">и, лампочки фар и фонарей, свечи зажигания, расходные материалы (консистентная смазка, масло, охлаждающая жидкость, жидкость гидроусилителя руля, тормозная жидкость, хладагент кондиционера), шины, пластиковые и хромированные детали экстерьера и интерьера, </w:t>
      </w:r>
      <w:r>
        <w:rPr>
          <w:spacing w:val="-4"/>
          <w:sz w:val="22"/>
          <w:szCs w:val="22"/>
        </w:rPr>
        <w:t xml:space="preserve">жиклеры </w:t>
      </w:r>
      <w:r>
        <w:rPr>
          <w:spacing w:val="-4"/>
          <w:sz w:val="22"/>
          <w:szCs w:val="22"/>
        </w:rPr>
        <w:t xml:space="preserve">омывателей</w:t>
      </w:r>
      <w:r>
        <w:rPr>
          <w:spacing w:val="-4"/>
          <w:sz w:val="22"/>
          <w:szCs w:val="22"/>
        </w:rPr>
        <w:t xml:space="preserve">, при условии отсутствия дефектов производства и материала;</w:t>
      </w:r>
      <w:r/>
    </w:p>
    <w:p>
      <w:pPr>
        <w:pStyle w:val="626"/>
        <w:numPr>
          <w:ilvl w:val="0"/>
          <w:numId w:val="7"/>
        </w:numPr>
        <w:ind w:left="900"/>
        <w:jc w:val="both"/>
        <w:spacing w:after="40"/>
        <w:shd w:val="clear" w:fill="FFFFFF" w:color="auto"/>
        <w:widowControl w:val="off"/>
        <w:tabs>
          <w:tab w:val="left" w:pos="180" w:leader="none"/>
          <w:tab w:val="num" w:pos="540" w:leader="none"/>
          <w:tab w:val="left" w:pos="10210" w:leader="dot"/>
        </w:tabs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на функциональные звуки, шум, вибрацию, которые не влияют на характеристики и работоспособность Автомобиля или его элементов и не снижают их ресурс;</w:t>
      </w:r>
      <w:r/>
    </w:p>
    <w:p>
      <w:pPr>
        <w:pStyle w:val="626"/>
        <w:numPr>
          <w:ilvl w:val="0"/>
          <w:numId w:val="7"/>
        </w:numPr>
        <w:ind w:left="900"/>
        <w:jc w:val="both"/>
        <w:spacing w:after="40"/>
        <w:shd w:val="clear" w:fill="FFFFFF" w:color="auto"/>
        <w:widowControl w:val="off"/>
        <w:tabs>
          <w:tab w:val="left" w:pos="180" w:leader="none"/>
          <w:tab w:val="num" w:pos="540" w:leader="none"/>
          <w:tab w:val="left" w:pos="10210" w:leader="dot"/>
        </w:tabs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на появление масляных пятен (запотевание) на поверхности узлов и агрегатов в местах сопряжений, сальниковых уплотнений, не приводящих к расходу жидкостей выше допустимого и не влияющих на технические характеристики и работоспособность Автомобиля;</w:t>
      </w:r>
      <w:r/>
    </w:p>
    <w:p>
      <w:pPr>
        <w:pStyle w:val="626"/>
        <w:numPr>
          <w:ilvl w:val="0"/>
          <w:numId w:val="7"/>
        </w:numPr>
        <w:ind w:left="900"/>
        <w:jc w:val="both"/>
        <w:spacing w:after="40"/>
        <w:shd w:val="clear" w:fill="FFFFFF" w:color="auto"/>
        <w:widowControl w:val="off"/>
        <w:tabs>
          <w:tab w:val="left" w:pos="180" w:leader="none"/>
          <w:tab w:val="num" w:pos="540" w:leader="none"/>
          <w:tab w:val="left" w:pos="10210" w:leader="dot"/>
        </w:tabs>
        <w:rPr>
          <w:spacing w:val="-4"/>
          <w:sz w:val="22"/>
          <w:szCs w:val="22"/>
        </w:rPr>
      </w:pPr>
      <w:r>
        <w:rPr>
          <w:b/>
          <w:sz w:val="22"/>
          <w:szCs w:val="22"/>
        </w:rPr>
        <w:t xml:space="preserve"> Условия предоставления Дилером гарантийных услуг.</w:t>
      </w:r>
      <w:r/>
    </w:p>
    <w:p>
      <w:pPr>
        <w:pStyle w:val="626"/>
        <w:ind w:left="360"/>
        <w:jc w:val="both"/>
        <w:spacing w:after="240" w:before="360"/>
        <w:tabs>
          <w:tab w:val="left" w:pos="540" w:leader="none"/>
          <w:tab w:val="left" w:pos="851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26"/>
        <w:numPr>
          <w:ilvl w:val="1"/>
          <w:numId w:val="10"/>
        </w:numPr>
        <w:jc w:val="both"/>
        <w:tabs>
          <w:tab w:val="left" w:pos="709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Гарантийные обязательства Продавца (Производителя) теряют силу: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нарушении правил эксплуатации автомобиля и норм Производителя, изложенных в «Руководстве по эксплуатации», в том числе при использовании горюче-смазочных материалов, которые не входят в перечень разрешенных для использования на автомобилях </w:t>
      </w:r>
      <w:r>
        <w:rPr>
          <w:sz w:val="22"/>
          <w:szCs w:val="22"/>
          <w:lang w:val="en-US"/>
        </w:rPr>
        <w:t xml:space="preserve">JAC</w:t>
      </w:r>
      <w:r>
        <w:rPr>
          <w:sz w:val="22"/>
          <w:szCs w:val="22"/>
        </w:rPr>
        <w:t xml:space="preserve">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не прохождения или несоблюдения периодичности и объемов работ по регламентному т</w:t>
      </w:r>
      <w:r>
        <w:rPr>
          <w:sz w:val="22"/>
          <w:szCs w:val="22"/>
        </w:rPr>
        <w:t xml:space="preserve">ехническому обслуживанию, указанных в Сервисной книжке, отсутствия подтверждения о прохождении данного обслуживания в Сервисной книжке (отметки в Сервисной книжке должны быть заверены подписью и печатью уполномоченного Дилера, который выполнял эти работы);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прохождения регламентного технического обслуживания, ремонта и установки дополнительного оборудования на предприятиях, которые не имеют статуса официального Дилера;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использовании Автомобиля не по назначению (участие в гонках, выполнение профессиональных пассажирских перевозок, использование автомобиля в режиме </w:t>
      </w:r>
      <w:r>
        <w:rPr>
          <w:sz w:val="22"/>
          <w:szCs w:val="22"/>
          <w:lang w:val="en-US"/>
        </w:rPr>
        <w:t xml:space="preserve">TAXI</w:t>
      </w:r>
      <w:r>
        <w:rPr>
          <w:sz w:val="22"/>
          <w:szCs w:val="22"/>
        </w:rPr>
        <w:t xml:space="preserve">, использование автомобиля для подготовки водителей в качестве учебного транспортного средства, предоставление автомобиля в прокат (кроме случаев, обусловленных заключением специального Договора);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неисправностях, повреждениях, которые возникли вследствие несанкционированных вмешательств (самостоятельный ремонт или ремонт в сторонних организациях);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перегрузке Автомобиля;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каком-либо повреждении Автомобиля вследствие дорожно-транспортного происшествия, при котором была необходимость замены одного из основных агрегатов (двигатель, коробка передач, пер</w:t>
      </w:r>
      <w:r>
        <w:rPr>
          <w:sz w:val="22"/>
          <w:szCs w:val="22"/>
        </w:rPr>
        <w:t xml:space="preserve">едняя и задняя подвеска, рулевое управление). А также вследствие повреждения автомобиля в других случаях или ремонте, где требуется замена базовой детали указанных агрегатов или при необходимости замены/правки (рихтовки) несъёмных силовых элементов кузова;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эксплуатации </w:t>
      </w:r>
      <w:r>
        <w:rPr>
          <w:sz w:val="22"/>
          <w:szCs w:val="22"/>
        </w:rPr>
        <w:t xml:space="preserve">Автомобиля при неработающем одометре (счетчике пройденного пути) или в случае выявления несоответствия его показателей фактическому пробегу Автомобиля (при замене одометра уполномоченный Дилер обязан сделать отметку с записью показаний в Сервисной книжке);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отсутствии Сервисной книжки;  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продолжении эксплуатации Покупателем (Собственником) неи</w:t>
      </w:r>
      <w:r>
        <w:rPr>
          <w:sz w:val="22"/>
          <w:szCs w:val="22"/>
        </w:rPr>
        <w:t xml:space="preserve">справного автомобиля и при несогласии клиента на проведение работ по устранению дополнительно возникших по его вине недостатков, угрожающих эксплуатации автомобиля, гарантийные обязательства изготовителя прекращаются, о чем сообщается в официальном письме.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замене стандартных узлов, деталей и агрегатов на узлы, детали и агрегаты, не предусмотренные нормативно-технической и конструкторской документацией Производителя;</w:t>
      </w:r>
      <w:r/>
    </w:p>
    <w:p>
      <w:pPr>
        <w:numPr>
          <w:ilvl w:val="0"/>
          <w:numId w:val="8"/>
        </w:numPr>
        <w:contextualSpacing w:val="true"/>
        <w:ind w:left="900" w:hanging="360"/>
        <w:jc w:val="both"/>
        <w:tabs>
          <w:tab w:val="left" w:pos="127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нарушении Покупателем (Собственником) условий предоставления гарантийных услуг, указанных в Сервисной книжке.</w:t>
      </w:r>
      <w:r/>
    </w:p>
    <w:p>
      <w:pPr>
        <w:pStyle w:val="626"/>
        <w:numPr>
          <w:ilvl w:val="0"/>
          <w:numId w:val="8"/>
        </w:numPr>
        <w:ind w:left="851" w:hanging="284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 самовольном внесении конструктивных изменений в эксплуатационные характе</w:t>
      </w:r>
      <w:r>
        <w:rPr>
          <w:sz w:val="22"/>
          <w:szCs w:val="22"/>
        </w:rPr>
        <w:t xml:space="preserve">ристики узлов и агрегатов, экстерьер и интерьер автомобиля, установке дополнительных приборов и принадлежностей, не одобренных заводом производителем или продавцом и установленных специалистами, не имеющими допуска на проведение подобных работ от Продавца;</w:t>
      </w:r>
      <w:r/>
    </w:p>
    <w:p>
      <w:pPr>
        <w:numPr>
          <w:ilvl w:val="1"/>
          <w:numId w:val="10"/>
        </w:numPr>
        <w:contextualSpacing w:val="true"/>
        <w:ind w:left="709" w:hanging="709"/>
        <w:jc w:val="both"/>
        <w:tabs>
          <w:tab w:val="left" w:pos="709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Гарантийные обязательства Продавца (Производителя) не распространяются на: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Повреждения, в том числе кузова и лакокрасочного покрытия кузова, вследствие различных внешних природных и техногенных факторов, таких как: кислотные ливни, дожди, смолистые </w:t>
      </w:r>
      <w:r>
        <w:rPr>
          <w:sz w:val="22"/>
          <w:szCs w:val="22"/>
        </w:rPr>
        <w:t xml:space="preserve">осадки, промышленные и другие выхлопы, растительный сок, продукты жизнедеятельности птиц и животных, град, ураган, молния, неровности дорожного покрытия, удары камнями, воздействие солей, солевых смесей, песка, химических реагентов, используемых против обл</w:t>
      </w:r>
      <w:r>
        <w:rPr>
          <w:sz w:val="22"/>
          <w:szCs w:val="22"/>
        </w:rPr>
        <w:t xml:space="preserve">еденения дорог, битум, гудрон, пожар, наводнение, шторм, оползни, снег, землетрясение, другие природные или связанные с деятельностью человека факторы; вследствие стихийного бедствия и какого-либо механического воздействия во время эксплуатации Автомобиля;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0" w:leader="none"/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Недостатки вследствие ненадлежащего ухода или нарушений правил эксплуатации и хранения Автомобиля, выявленные во время эксплуатации Автомобиля;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Неисправности вследствие действий третьих лиц;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Работы по регулировке, необходимость которых возникла между регламентными техническими обслуживаниями, а также на устранение недостатков/поломок вследствие использования некачественных горюче-смазочных материалов;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0" w:leader="none"/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Детали, узлы и агрегаты Автомобиля, имеющие механические повреждения (в том числе, лобовое стекло с трещинами);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Огнетушитель, знак аварийной остановки и аптечку в случае их наличия в комплектации Автомобиля;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0" w:leader="none"/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 аккумуляторную батарею, вышедшая из строя по вине Покупателя (Собственника)</w:t>
      </w:r>
      <w:r>
        <w:rPr>
          <w:sz w:val="22"/>
          <w:szCs w:val="22"/>
        </w:rPr>
        <w:t xml:space="preserve"> вследствие не выключения устройств электропотребления при длительной стоянке, выполнения сварочных работ, запуска двигателя от постороннего источника напряжения, наличия препятствия исполнительным механизмам (примерзание, попадание посторонних предметов);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Повреждения вследствие попадания воды в составные детали узлов и агрегатов во время преодоления водных препятствий или стихийного бедствия.</w:t>
      </w:r>
      <w:r/>
    </w:p>
    <w:p>
      <w:pPr>
        <w:numPr>
          <w:ilvl w:val="0"/>
          <w:numId w:val="1"/>
        </w:numPr>
        <w:contextualSpacing w:val="true"/>
        <w:ind w:left="900"/>
        <w:jc w:val="both"/>
        <w:tabs>
          <w:tab w:val="left" w:pos="1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</w:t>
      </w:r>
      <w:r>
        <w:rPr>
          <w:spacing w:val="-4"/>
          <w:sz w:val="22"/>
          <w:szCs w:val="22"/>
        </w:rPr>
        <w:t xml:space="preserve">асходы владельца Автомобиля, которые косвенно связаны с возникшими неисправностями Автомобиля: </w:t>
      </w:r>
      <w:r/>
    </w:p>
    <w:p>
      <w:pPr>
        <w:pStyle w:val="626"/>
        <w:ind w:left="1134" w:hanging="234"/>
        <w:jc w:val="both"/>
        <w:tabs>
          <w:tab w:val="left" w:pos="0" w:leader="none"/>
        </w:tabs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- расходы на питание и размещение в гостинице, на услуги телефонии/почты и другие расходы, понесённые владельцем из-за возникшей неисправности Автомобиля; </w:t>
      </w:r>
      <w:r/>
    </w:p>
    <w:p>
      <w:pPr>
        <w:pStyle w:val="626"/>
        <w:ind w:left="1134" w:hanging="234"/>
        <w:jc w:val="both"/>
        <w:tabs>
          <w:tab w:val="left" w:pos="0" w:leader="none"/>
        </w:tabs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- расходы по транспортировке автомобиля в сервисный центр;</w:t>
      </w:r>
      <w:r/>
    </w:p>
    <w:p>
      <w:pPr>
        <w:pStyle w:val="626"/>
        <w:ind w:left="1134" w:hanging="234"/>
        <w:jc w:val="both"/>
        <w:tabs>
          <w:tab w:val="left" w:pos="0" w:leader="none"/>
        </w:tabs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- расходы, связанные с </w:t>
      </w:r>
      <w:r>
        <w:rPr>
          <w:spacing w:val="-4"/>
          <w:sz w:val="22"/>
          <w:szCs w:val="22"/>
        </w:rPr>
        <w:t xml:space="preserve">травмированием</w:t>
      </w:r>
      <w:r>
        <w:rPr>
          <w:spacing w:val="-4"/>
          <w:sz w:val="22"/>
          <w:szCs w:val="22"/>
        </w:rPr>
        <w:t xml:space="preserve"> людей, а также компенсацией ущерба, связанного с повреждением или уничтожением имущества; </w:t>
      </w:r>
      <w:r/>
    </w:p>
    <w:p>
      <w:pPr>
        <w:pStyle w:val="626"/>
        <w:ind w:left="1134" w:hanging="234"/>
        <w:jc w:val="both"/>
        <w:tabs>
          <w:tab w:val="left" w:pos="0" w:leader="none"/>
        </w:tabs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- компенсацию потерянного времени, упущенной коммерческой выгоды, а также компенсация стоимости аренды другого автомобиля и гаража (стоянки) в период неисправности Автомобиля и нахождения неисправного Автомобиля в гарантийном ремонте.</w:t>
      </w:r>
      <w:r/>
    </w:p>
    <w:p>
      <w:pPr>
        <w:numPr>
          <w:ilvl w:val="1"/>
          <w:numId w:val="10"/>
        </w:numPr>
        <w:contextualSpacing w:val="true"/>
        <w:ind w:left="709" w:hanging="709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обнаружении каких-либо изъянов Автомобиля в период действия Гарантийных обязательств, Покупатель (Собственник) обязан обратиться к уполномоченному Дилеру. Заявление Покупателя (Собственника, представителя Собственника) на проведение гарантийного рем</w:t>
      </w:r>
      <w:r>
        <w:rPr>
          <w:sz w:val="22"/>
          <w:szCs w:val="22"/>
        </w:rPr>
        <w:t xml:space="preserve">онта автомобиля принимается в случае обязательного предоставления Сервисной книжки, оформленной и подписанной Продавцом, со всеми необходимыми печатями и отметками о выполнении предпродажной подготовки и прохождения регламентного технического обслуживания.</w:t>
      </w:r>
      <w:r/>
    </w:p>
    <w:p>
      <w:pPr>
        <w:numPr>
          <w:ilvl w:val="1"/>
          <w:numId w:val="10"/>
        </w:numPr>
        <w:contextualSpacing w:val="true"/>
        <w:ind w:left="709" w:hanging="567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проведении гарантийных работ уполномоченный Дилер самостоятельно реша</w:t>
      </w:r>
      <w:r>
        <w:rPr>
          <w:sz w:val="22"/>
          <w:szCs w:val="22"/>
        </w:rPr>
        <w:t xml:space="preserve">ет вопросы о необходимости выполнения ремонта, целесообразности замены деталей и способах выполнения гарантийного ремонта. Если дефектной является деталь узла, которая может быть заменена, гарантийные обязательства не распространяются на весь узел в целом.</w:t>
      </w:r>
      <w:r/>
    </w:p>
    <w:p>
      <w:pPr>
        <w:numPr>
          <w:ilvl w:val="1"/>
          <w:numId w:val="10"/>
        </w:numPr>
        <w:contextualSpacing w:val="true"/>
        <w:ind w:left="709" w:hanging="709"/>
        <w:jc w:val="both"/>
        <w:tabs>
          <w:tab w:val="left" w:pos="709" w:leader="none"/>
        </w:tabs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Продавец вправе, по своему усмотрению, произвести ремонт без установления причин возникновения неисправности, в том числе в случаях, когда неисправность могла не являться следствием заводских дефектов качества товара.</w:t>
      </w:r>
      <w:r/>
    </w:p>
    <w:p>
      <w:pPr>
        <w:pStyle w:val="626"/>
        <w:numPr>
          <w:ilvl w:val="1"/>
          <w:numId w:val="10"/>
        </w:numPr>
        <w:ind w:left="709" w:hanging="709"/>
        <w:jc w:val="both"/>
        <w:tabs>
          <w:tab w:val="left" w:pos="709" w:leader="none"/>
        </w:tabs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Покупатель согласен, что выполнение Продавцом каких-либо ремонтов не является доказательством заводских дефектов качества товара.</w:t>
      </w:r>
      <w:r/>
    </w:p>
    <w:p>
      <w:pPr>
        <w:pStyle w:val="626"/>
        <w:numPr>
          <w:ilvl w:val="1"/>
          <w:numId w:val="10"/>
        </w:numPr>
        <w:ind w:left="709" w:hanging="709"/>
        <w:jc w:val="both"/>
        <w:tabs>
          <w:tab w:val="left" w:pos="709" w:leader="none"/>
        </w:tabs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 гарантийном ремонте устраняются все, дополнительно выявленные неисправности и отказы, при этом неполадки, возникшие по вине Клиента, устраняются при его ознакомлении и за его счет.</w:t>
      </w:r>
      <w:r/>
    </w:p>
    <w:p>
      <w:pPr>
        <w:pStyle w:val="626"/>
        <w:numPr>
          <w:ilvl w:val="1"/>
          <w:numId w:val="10"/>
        </w:numPr>
        <w:ind w:left="709" w:hanging="709"/>
        <w:jc w:val="both"/>
        <w:tabs>
          <w:tab w:val="left" w:pos="709" w:leader="none"/>
        </w:tabs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 несогласии клиента на проведения работ по устранению дополнительно возникших по его вине недостатков, угрожающих эксплуатации автомобиля, гарантийные обязательства изготовителя прекращаются, о чем сообщается официальным письмом.     </w:t>
      </w:r>
      <w:r/>
    </w:p>
    <w:p>
      <w:pPr>
        <w:pStyle w:val="626"/>
        <w:numPr>
          <w:ilvl w:val="1"/>
          <w:numId w:val="10"/>
        </w:numPr>
        <w:ind w:left="709" w:hanging="709"/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Детали, замененные при гарантийном ремонте, передаются Производителю для дальнейшег</w:t>
      </w:r>
      <w:r>
        <w:rPr>
          <w:sz w:val="22"/>
          <w:szCs w:val="22"/>
        </w:rPr>
        <w:t xml:space="preserve">о технического осмотра. При признании гарантийного случая, неисправная деталь переходит в собственность Производителя. В случае отказа в признании гарантии, неисправная деталь может быть возвращена Покупателю(Собственнику) по его предварительному запросу. </w:t>
      </w:r>
      <w:r/>
    </w:p>
    <w:p>
      <w:pPr>
        <w:pStyle w:val="626"/>
        <w:numPr>
          <w:ilvl w:val="1"/>
          <w:numId w:val="10"/>
        </w:numPr>
        <w:ind w:left="709" w:hanging="709"/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замене по гарантии деталей, узлов и агрегатов гарантия на автомобиль не продляется.</w:t>
      </w:r>
      <w:r/>
    </w:p>
    <w:p>
      <w:pPr>
        <w:pStyle w:val="626"/>
        <w:ind w:left="709"/>
        <w:jc w:val="both"/>
        <w:tabs>
          <w:tab w:val="left" w:pos="709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/>
    </w:p>
    <w:p>
      <w:pPr>
        <w:pStyle w:val="626"/>
        <w:numPr>
          <w:ilvl w:val="0"/>
          <w:numId w:val="9"/>
        </w:numPr>
        <w:ind w:firstLine="0"/>
        <w:jc w:val="both"/>
        <w:spacing w:after="240" w:before="360"/>
        <w:tabs>
          <w:tab w:val="left" w:pos="360" w:leader="none"/>
          <w:tab w:val="left" w:pos="851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Обязательства Покупателя (Собственника)</w:t>
      </w:r>
      <w:r/>
    </w:p>
    <w:p>
      <w:pPr>
        <w:pStyle w:val="626"/>
        <w:ind w:left="709" w:hanging="709"/>
        <w:jc w:val="both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3.1   Условия, которые Покупатель (Собственник) обязан выполнять для сохранения гарантии:</w:t>
      </w:r>
      <w:r/>
    </w:p>
    <w:p>
      <w:pPr>
        <w:pStyle w:val="626"/>
        <w:numPr>
          <w:ilvl w:val="1"/>
          <w:numId w:val="4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началом эксплуатации Автомобиля внимательно ознакомиться с правилами его эксплуатации, изложенными в Руководстве по эксплуатации и Сервисной книжке, предоставленным Продавцом.</w:t>
      </w:r>
      <w:r/>
    </w:p>
    <w:p>
      <w:pPr>
        <w:pStyle w:val="626"/>
        <w:numPr>
          <w:ilvl w:val="1"/>
          <w:numId w:val="5"/>
        </w:numPr>
        <w:ind w:left="709" w:hanging="709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необходимости разъяснений условий и правил использования Автомобиля – до начала его использования обратиться за разъяснениями к Продавцу.</w:t>
      </w:r>
      <w:r/>
    </w:p>
    <w:p>
      <w:pPr>
        <w:pStyle w:val="626"/>
        <w:numPr>
          <w:ilvl w:val="1"/>
          <w:numId w:val="5"/>
        </w:numPr>
        <w:ind w:left="720" w:hanging="720"/>
        <w:jc w:val="both"/>
        <w:tabs>
          <w:tab w:val="left" w:pos="7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Пользоваться Автомобилем согласно его целевому назначению и следовать условиям (требованиям, нормам, правилам), установленным Производителем в Руководстве по эксплуатации и Сервисной книжке.</w:t>
      </w:r>
      <w:r/>
    </w:p>
    <w:p>
      <w:pPr>
        <w:pStyle w:val="626"/>
        <w:numPr>
          <w:ilvl w:val="1"/>
          <w:numId w:val="6"/>
        </w:numPr>
        <w:ind w:left="709" w:hanging="709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 целью предотвращения негативных для Покупателя(Собственника) последствий использования Автомобиля – использовать в Автомобиле предус</w:t>
      </w:r>
      <w:r>
        <w:rPr>
          <w:sz w:val="22"/>
          <w:szCs w:val="22"/>
        </w:rPr>
        <w:t xml:space="preserve">мотренные производителем средства безопасности с соблюдением предусмотренных эксплуатационной документацией специальных правил, а в случае отсутствия таких правил в документации – соблюдать обычные разумные меры безопасности, установленные для автомобилей.</w:t>
      </w:r>
      <w:r/>
    </w:p>
    <w:p>
      <w:pPr>
        <w:pStyle w:val="626"/>
        <w:numPr>
          <w:ilvl w:val="1"/>
          <w:numId w:val="6"/>
        </w:numPr>
        <w:ind w:left="720" w:hanging="720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Выполнять все рекомендации Производителя (Продавца) по соблюдению периодичности и регламента технического обслуживания, указанных в Сервисной книжке, и обеспечивать </w:t>
      </w:r>
      <w:r>
        <w:rPr>
          <w:sz w:val="22"/>
          <w:szCs w:val="22"/>
        </w:rPr>
        <w:t xml:space="preserve">своевременное (в сроки, указанные в Сервисной книжке) прохождение технического обслуживания (ремонта) или установку дополнительного оборудования только на сервисных центрах уполномоченных Дилеров, указанных в Сервисной книжке.</w:t>
      </w:r>
      <w:r/>
    </w:p>
    <w:p>
      <w:pPr>
        <w:pStyle w:val="626"/>
        <w:numPr>
          <w:ilvl w:val="1"/>
          <w:numId w:val="6"/>
        </w:numPr>
        <w:ind w:left="720" w:hanging="720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обнаружении каких-либо неисправностей или дефектов одной или нескольких деталей, на которые распространяются Гарантийные обязательства Продавца (Производителя), немедленно обратиться в сервисный ц</w:t>
      </w:r>
      <w:r>
        <w:rPr>
          <w:sz w:val="22"/>
          <w:szCs w:val="22"/>
        </w:rPr>
        <w:t xml:space="preserve">ентр уполномоченного Дилера, указанного в Сервисной книжке, прекратить эксплуатацию неисправного Автомобиля и выполнять все указания, полученные от инженера по гарантии сервисного центра или другого уполномоченного работника до начала гарантийного ремонта.</w:t>
      </w:r>
      <w:r/>
    </w:p>
    <w:p>
      <w:pPr>
        <w:pStyle w:val="626"/>
        <w:numPr>
          <w:ilvl w:val="1"/>
          <w:numId w:val="6"/>
        </w:numPr>
        <w:ind w:left="720" w:hanging="720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 допускать собственного вмешательства и вмешательства третьих лиц в конструкцию Автомобиля и показатели счётчика пройденного ним пути (километража).</w:t>
      </w:r>
      <w:r/>
    </w:p>
    <w:p>
      <w:pPr>
        <w:pStyle w:val="626"/>
        <w:numPr>
          <w:ilvl w:val="1"/>
          <w:numId w:val="6"/>
        </w:numPr>
        <w:ind w:left="720" w:hanging="720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 требованию инженера по гарантии или другого уполномо</w:t>
      </w:r>
      <w:r>
        <w:rPr>
          <w:sz w:val="22"/>
          <w:szCs w:val="22"/>
        </w:rPr>
        <w:t xml:space="preserve">ченного работника сервисного центра Дилера, указанного в Сервисной книжке, предоставить Сервисную книжку с отметками, подтверждающими выполнение всех обязательных работ по техническому обслуживанию Автомобиля с начала гарантийного периода его эксплуатации.</w:t>
      </w:r>
      <w:r/>
    </w:p>
    <w:p>
      <w:pPr>
        <w:pStyle w:val="626"/>
        <w:numPr>
          <w:ilvl w:val="1"/>
          <w:numId w:val="6"/>
        </w:numPr>
        <w:ind w:left="720" w:hanging="720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Предо</w:t>
      </w:r>
      <w:r>
        <w:rPr>
          <w:sz w:val="22"/>
          <w:szCs w:val="22"/>
        </w:rPr>
        <w:t xml:space="preserve">ставить Автомобиль ответственным работникам сервисной службы Дилера, указанного в Сервисной книжке, для проведения технического осмотра и диагностики неисправного Автомобиля с целью выявления причины, которая повлияла на появление неисправности Автомобиля.</w:t>
      </w:r>
      <w:r/>
    </w:p>
    <w:p>
      <w:pPr>
        <w:contextualSpacing w:val="true"/>
        <w:jc w:val="both"/>
        <w:tabs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В случае утери Сервисной книжки, Покупатель (Собственник) имеет право получить дубликат Сервисной книжки взамен утерянной. </w:t>
      </w:r>
      <w:r>
        <w:rPr>
          <w:sz w:val="22"/>
          <w:szCs w:val="22"/>
        </w:rPr>
        <w:tab/>
        <w:t xml:space="preserve">В э</w:t>
      </w:r>
      <w:r>
        <w:rPr>
          <w:sz w:val="22"/>
          <w:szCs w:val="22"/>
          <w:lang w:val="uk-UA"/>
        </w:rPr>
        <w:t xml:space="preserve">том </w:t>
      </w:r>
      <w:r>
        <w:rPr>
          <w:sz w:val="22"/>
          <w:szCs w:val="22"/>
        </w:rPr>
        <w:t xml:space="preserve">случае Дилер обязан уведомить Дистрибьютора, а также проверить, является ли данный Автомобиль гарантийным. После выдачи дубликата Сервисной книжки Дилер заполняет всю необходимую информацию, а также ставит отметки обо всех пройденных ТО. </w:t>
      </w:r>
      <w:r>
        <w:rPr>
          <w:sz w:val="22"/>
          <w:szCs w:val="22"/>
        </w:rPr>
        <w:tab/>
        <w:t xml:space="preserve">В случае если Покупатель (Собственник) проходил, ТО на разных предприятиях, восстановление всех отметок о прохождении регламентных ТО обязан осуществить Покупатель (Собственник).</w:t>
      </w:r>
      <w:r/>
    </w:p>
    <w:p>
      <w:pPr>
        <w:contextualSpacing w:val="true"/>
        <w:jc w:val="both"/>
        <w:tabs>
          <w:tab w:val="left" w:pos="709" w:leader="none"/>
        </w:tabs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ВАЖНО!</w:t>
      </w:r>
      <w:r/>
    </w:p>
    <w:p>
      <w:pPr>
        <w:pStyle w:val="626"/>
        <w:numPr>
          <w:ilvl w:val="0"/>
          <w:numId w:val="12"/>
        </w:numPr>
        <w:ind w:left="426"/>
        <w:jc w:val="both"/>
        <w:spacing w:before="240"/>
        <w:tabs>
          <w:tab w:val="left" w:pos="0" w:leader="none"/>
        </w:tabs>
        <w:rPr>
          <w:caps/>
          <w:sz w:val="22"/>
          <w:szCs w:val="22"/>
        </w:rPr>
      </w:pPr>
      <w:r>
        <w:rPr>
          <w:sz w:val="22"/>
          <w:szCs w:val="22"/>
        </w:rPr>
        <w:t xml:space="preserve">В случае невыполнения Покупателем (Собственником) своих обязательств и иных требований Продавца (Производителя), указанных в Гарантийных обязательствах, инженер по гарантии сервисного центра упол</w:t>
      </w:r>
      <w:r>
        <w:rPr>
          <w:sz w:val="22"/>
          <w:szCs w:val="22"/>
        </w:rPr>
        <w:t xml:space="preserve">номоченного Дилера, указанного в Сервисной книжке, имеет право прекратить действие Гарантийных обязательств Продавца, сделав об этом обязательную отметку в Сервисной книжке с указанием причины снятия Автомобиля (или его агрегата, узла, системы) с гарантии.</w:t>
      </w:r>
      <w:r/>
    </w:p>
    <w:p>
      <w:pPr>
        <w:pStyle w:val="626"/>
        <w:numPr>
          <w:ilvl w:val="0"/>
          <w:numId w:val="12"/>
        </w:numPr>
        <w:ind w:left="426"/>
        <w:jc w:val="both"/>
        <w:spacing w:before="240"/>
        <w:tabs>
          <w:tab w:val="left" w:pos="0" w:leader="none"/>
        </w:tabs>
        <w:rPr>
          <w:caps/>
          <w:sz w:val="22"/>
          <w:szCs w:val="22"/>
        </w:rPr>
      </w:pPr>
      <w:r>
        <w:rPr>
          <w:sz w:val="22"/>
          <w:szCs w:val="22"/>
        </w:rPr>
        <w:t xml:space="preserve">Выполнение регламентного сервисного обслуживания автомобиля (ТО) выполняются платно, за счет Покупателя (Собственника).</w:t>
      </w:r>
      <w:r/>
    </w:p>
    <w:p>
      <w:r>
        <w:rPr>
          <w:sz w:val="22"/>
          <w:szCs w:val="22"/>
        </w:rPr>
        <w:t xml:space="preserve">Отсутствие сервисной книжки у владельца, является основанием для отказа в гарантийном ремонте</w:t>
      </w:r>
      <w:bookmarkStart w:id="0" w:name="_GoBack"/>
      <w:r/>
      <w:bookmarkEnd w:id="0"/>
      <w:r/>
      <w:r/>
    </w:p>
    <w:sectPr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isLgl w:val="false"/>
      <w:suff w:val="tab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isLgl w:val="false"/>
      <w:suff w:val="tab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2"/>
      <w:numFmt w:val="upperRoman"/>
      <w:isLgl w:val="false"/>
      <w:suff w:val="tab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15.%2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2"/>
    <w:next w:val="62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2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2"/>
    <w:next w:val="62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2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2"/>
    <w:next w:val="62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2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2"/>
    <w:next w:val="62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2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2"/>
    <w:next w:val="62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2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2"/>
    <w:next w:val="62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2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2"/>
    <w:next w:val="62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2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2"/>
    <w:next w:val="62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2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2"/>
    <w:next w:val="62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2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22"/>
    <w:next w:val="62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23"/>
    <w:link w:val="32"/>
    <w:uiPriority w:val="10"/>
    <w:rPr>
      <w:sz w:val="48"/>
      <w:szCs w:val="48"/>
    </w:rPr>
  </w:style>
  <w:style w:type="paragraph" w:styleId="34">
    <w:name w:val="Subtitle"/>
    <w:basedOn w:val="622"/>
    <w:next w:val="62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23"/>
    <w:link w:val="34"/>
    <w:uiPriority w:val="11"/>
    <w:rPr>
      <w:sz w:val="24"/>
      <w:szCs w:val="24"/>
    </w:rPr>
  </w:style>
  <w:style w:type="paragraph" w:styleId="36">
    <w:name w:val="Quote"/>
    <w:basedOn w:val="622"/>
    <w:next w:val="62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2"/>
    <w:next w:val="62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3"/>
    <w:link w:val="40"/>
    <w:uiPriority w:val="99"/>
  </w:style>
  <w:style w:type="paragraph" w:styleId="42">
    <w:name w:val="Footer"/>
    <w:basedOn w:val="62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3"/>
    <w:link w:val="42"/>
    <w:uiPriority w:val="99"/>
  </w:style>
  <w:style w:type="paragraph" w:styleId="44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3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3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  <w:rPr>
      <w:rFonts w:ascii="Times New Roman" w:hAnsi="Times New Roman" w:cs="Times New Roman" w:eastAsia="Times New Roman"/>
      <w:color w:val="00000A"/>
      <w:lang w:eastAsia="zh-CN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List Paragraph"/>
    <w:basedOn w:val="622"/>
    <w:qFormat/>
    <w:uiPriority w:val="34"/>
    <w:pPr>
      <w:contextualSpacing w:val="true"/>
      <w:ind w:left="720"/>
    </w:pPr>
  </w:style>
  <w:style w:type="paragraph" w:styleId="627">
    <w:name w:val="No Spacing"/>
    <w:qFormat/>
    <w:uiPriority w:val="1"/>
    <w:rPr>
      <w:rFonts w:ascii="Times New Roman" w:hAnsi="Times New Roman" w:cs="Times New Roman" w:eastAsia="Times New Roman"/>
      <w:color w:val="00000A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ONLYOFFICE/6.3.2.2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Вавилов Вадим</cp:lastModifiedBy>
  <cp:revision>2</cp:revision>
  <dcterms:created xsi:type="dcterms:W3CDTF">2021-10-08T10:13:00Z</dcterms:created>
  <dcterms:modified xsi:type="dcterms:W3CDTF">2021-10-26T13:09:39Z</dcterms:modified>
</cp:coreProperties>
</file>