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2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ГАРАНТИЙНОЕ СОГЛАШЕНИЕ </w:t>
      </w:r>
      <w:r/>
    </w:p>
    <w:p>
      <w:pPr>
        <w:pStyle w:val="62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</w:r>
      <w:r/>
    </w:p>
    <w:p>
      <w:pPr>
        <w:pStyle w:val="627"/>
        <w:numPr>
          <w:ilvl w:val="0"/>
          <w:numId w:val="11"/>
        </w:numPr>
        <w:ind w:hanging="54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Гарантийные обязательства Продавца (Производителя)</w:t>
      </w:r>
      <w:r/>
    </w:p>
    <w:p>
      <w:pPr>
        <w:pStyle w:val="626"/>
        <w:numPr>
          <w:ilvl w:val="1"/>
          <w:numId w:val="3"/>
        </w:numPr>
        <w:ind w:left="720" w:hanging="720"/>
        <w:jc w:val="both"/>
        <w:tabs>
          <w:tab w:val="left" w:pos="0" w:leader="none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Гарантийный период на автомобили.</w:t>
      </w:r>
      <w:r/>
    </w:p>
    <w:p>
      <w:pPr>
        <w:jc w:val="both"/>
        <w:tabs>
          <w:tab w:val="left" w:pos="0" w:leader="none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Гарантийный период на</w:t>
      </w:r>
      <w:r>
        <w:rPr>
          <w:sz w:val="22"/>
          <w:szCs w:val="22"/>
        </w:rPr>
        <w:t xml:space="preserve"> новый автомобиль распространяется (при ограничении действия гарантии на отельные детали, узлы и лакокрасочное покрытие согласно условиям обозначенных в настоящем соглашении) на любые дефекты, причиной которых является неправильное изготовление или сборка:</w:t>
      </w:r>
      <w:r/>
    </w:p>
    <w:p>
      <w:pPr>
        <w:numPr>
          <w:ilvl w:val="0"/>
          <w:numId w:val="2"/>
        </w:numPr>
        <w:contextualSpacing w:val="true"/>
        <w:jc w:val="both"/>
        <w:tabs>
          <w:tab w:val="left" w:pos="0" w:leader="none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Для новых автомобилей </w:t>
      </w:r>
      <w:r>
        <w:rPr>
          <w:b/>
          <w:sz w:val="22"/>
          <w:szCs w:val="22"/>
          <w:lang w:val="en-US"/>
        </w:rPr>
        <w:t xml:space="preserve">JAC</w:t>
      </w:r>
      <w:r>
        <w:rPr>
          <w:b/>
          <w:sz w:val="22"/>
          <w:szCs w:val="22"/>
        </w:rPr>
        <w:t xml:space="preserve">, гарантийный период составляет</w:t>
      </w:r>
      <w:r/>
    </w:p>
    <w:p>
      <w:pPr>
        <w:pStyle w:val="626"/>
        <w:numPr>
          <w:ilvl w:val="1"/>
          <w:numId w:val="2"/>
        </w:numPr>
        <w:contextualSpacing w:val="false"/>
        <w:ind w:right="70"/>
        <w:jc w:val="both"/>
        <w:widowControl w:val="off"/>
        <w:rPr>
          <w:sz w:val="22"/>
          <w:szCs w:val="22"/>
        </w:rPr>
      </w:pPr>
      <w:r>
        <w:rPr>
          <w:sz w:val="22"/>
          <w:szCs w:val="22"/>
        </w:rPr>
        <w:t xml:space="preserve">Срок действия гарантии, в зависимости, что наступит раньше, составляет:</w:t>
      </w:r>
      <w:r/>
    </w:p>
    <w:p>
      <w:pPr>
        <w:pStyle w:val="626"/>
        <w:ind w:left="1440" w:right="70"/>
        <w:rPr>
          <w:sz w:val="22"/>
          <w:szCs w:val="22"/>
        </w:rPr>
      </w:pPr>
      <w:r>
        <w:rPr>
          <w:sz w:val="22"/>
          <w:szCs w:val="22"/>
        </w:rPr>
      </w:r>
      <w:r/>
    </w:p>
    <w:tbl>
      <w:tblPr>
        <w:tblW w:w="6394" w:type="dxa"/>
        <w:tblInd w:w="966" w:type="dxa"/>
        <w:tblLook w:val="04A0" w:firstRow="1" w:lastRow="0" w:firstColumn="1" w:lastColumn="0" w:noHBand="0" w:noVBand="1"/>
      </w:tblPr>
      <w:tblGrid>
        <w:gridCol w:w="2332"/>
        <w:gridCol w:w="944"/>
        <w:gridCol w:w="992"/>
        <w:gridCol w:w="992"/>
        <w:gridCol w:w="1134"/>
      </w:tblGrid>
      <w:tr>
        <w:trPr>
          <w:trHeight w:val="270"/>
        </w:trPr>
        <w:tc>
          <w:tcPr>
            <w:gridSpan w:val="5"/>
            <w:shd w:val="clear" w:fill="auto" w:color="auto"/>
            <w:tcBorders>
              <w:left w:val="single" w:sz="8" w:space="0" w:color="auto"/>
              <w:top w:val="single" w:sz="8" w:space="0" w:color="auto"/>
              <w:right w:val="single" w:color="000000" w:sz="8" w:space="0"/>
              <w:bottom w:val="none" w:color="000000" w:sz="4" w:space="0"/>
            </w:tcBorders>
            <w:tcW w:w="6394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Легковой автомобиль</w:t>
            </w:r>
            <w:r/>
          </w:p>
        </w:tc>
      </w:tr>
      <w:tr>
        <w:trPr>
          <w:trHeight w:val="390"/>
        </w:trPr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33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Модель </w:t>
            </w:r>
            <w:r/>
          </w:p>
        </w:tc>
        <w:tc>
          <w:tcPr>
            <w:gridSpan w:val="4"/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06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Гарантийный срок (время или пробег - месяц / км)</w:t>
            </w:r>
            <w:r/>
          </w:p>
        </w:tc>
      </w:tr>
      <w:tr>
        <w:trPr>
          <w:trHeight w:val="255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332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44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S3/S5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J5/J6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M5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J3/J4</w:t>
            </w:r>
            <w:r/>
          </w:p>
        </w:tc>
      </w:tr>
      <w:tr>
        <w:trPr>
          <w:trHeight w:val="227"/>
        </w:trPr>
        <w:tc>
          <w:tcPr>
            <w:shd w:val="clear" w:fill="auto" w:color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332" w:type="dxa"/>
            <w:vAlign w:val="center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Для некоммерческого использования</w:t>
            </w:r>
            <w:r/>
          </w:p>
        </w:tc>
        <w:tc>
          <w:tcPr>
            <w:gridSpan w:val="4"/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06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36 </w:t>
            </w:r>
            <w:r>
              <w:rPr>
                <w:sz w:val="22"/>
                <w:szCs w:val="22"/>
              </w:rPr>
              <w:t xml:space="preserve">мес</w:t>
            </w:r>
            <w:r>
              <w:rPr>
                <w:sz w:val="22"/>
                <w:szCs w:val="22"/>
              </w:rPr>
              <w:t xml:space="preserve"> / 100 000 км</w:t>
            </w:r>
            <w:r/>
          </w:p>
        </w:tc>
      </w:tr>
      <w:tr>
        <w:trPr>
          <w:trHeight w:val="220"/>
        </w:trPr>
        <w:tc>
          <w:tcPr>
            <w:shd w:val="clear" w:fill="auto" w:color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332" w:type="dxa"/>
            <w:vAlign w:val="center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Для коммерческого использования</w:t>
            </w:r>
            <w:r/>
          </w:p>
        </w:tc>
        <w:tc>
          <w:tcPr>
            <w:gridSpan w:val="4"/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06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 </w:t>
            </w:r>
            <w:r>
              <w:rPr>
                <w:sz w:val="22"/>
                <w:szCs w:val="22"/>
              </w:rPr>
              <w:t xml:space="preserve">мес</w:t>
            </w:r>
            <w:r>
              <w:rPr>
                <w:sz w:val="22"/>
                <w:szCs w:val="22"/>
              </w:rPr>
              <w:t xml:space="preserve"> /100 000 км</w:t>
            </w:r>
            <w:r/>
          </w:p>
        </w:tc>
      </w:tr>
    </w:tbl>
    <w:p>
      <w:pPr>
        <w:pStyle w:val="626"/>
        <w:ind w:left="1440" w:right="70"/>
        <w:rPr>
          <w:sz w:val="22"/>
          <w:szCs w:val="22"/>
        </w:rPr>
      </w:pPr>
      <w:r>
        <w:rPr>
          <w:sz w:val="22"/>
          <w:szCs w:val="22"/>
        </w:rPr>
      </w:r>
      <w:r/>
    </w:p>
    <w:tbl>
      <w:tblPr>
        <w:tblW w:w="6394" w:type="dxa"/>
        <w:tblInd w:w="966" w:type="dxa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83"/>
        <w:gridCol w:w="993"/>
        <w:gridCol w:w="992"/>
        <w:gridCol w:w="992"/>
        <w:gridCol w:w="1134"/>
      </w:tblGrid>
      <w:tr>
        <w:trPr>
          <w:trHeight w:val="255"/>
        </w:trPr>
        <w:tc>
          <w:tcPr>
            <w:gridSpan w:val="5"/>
            <w:shd w:val="clear" w:fill="auto" w:color="auto"/>
            <w:tcW w:w="6394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Коммерческий автомобиль</w:t>
            </w:r>
            <w:r/>
          </w:p>
        </w:tc>
      </w:tr>
      <w:tr>
        <w:trPr>
          <w:trHeight w:val="390"/>
        </w:trPr>
        <w:tc>
          <w:tcPr>
            <w:shd w:val="clear" w:fill="auto" w:color="auto"/>
            <w:tcW w:w="2283" w:type="dxa"/>
            <w:vAlign w:val="center"/>
            <w:vMerge w:val="restart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Транспортное средство</w:t>
            </w:r>
            <w:r/>
          </w:p>
        </w:tc>
        <w:tc>
          <w:tcPr>
            <w:gridSpan w:val="4"/>
            <w:shd w:val="clear" w:fill="auto" w:color="auto"/>
            <w:tcW w:w="411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Гарантийный срок (время или пробег - месяц / км)</w:t>
            </w:r>
            <w:r/>
          </w:p>
        </w:tc>
      </w:tr>
      <w:tr>
        <w:trPr>
          <w:trHeight w:val="183"/>
        </w:trPr>
        <w:tc>
          <w:tcPr>
            <w:tcW w:w="2283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W w:w="993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LCV</w:t>
            </w:r>
            <w:r/>
          </w:p>
        </w:tc>
        <w:tc>
          <w:tcPr>
            <w:shd w:val="clear" w:fill="auto" w:color="auto"/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 xml:space="preserve">MT/HT </w:t>
            </w:r>
            <w:r/>
          </w:p>
        </w:tc>
        <w:tc>
          <w:tcPr>
            <w:shd w:val="clear" w:fill="auto" w:color="auto"/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Pickup</w:t>
            </w:r>
            <w:r/>
          </w:p>
        </w:tc>
        <w:tc>
          <w:tcPr>
            <w:shd w:val="clear" w:fill="auto" w:color="auto"/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Mini-truck</w:t>
            </w:r>
            <w:r/>
          </w:p>
        </w:tc>
      </w:tr>
      <w:tr>
        <w:trPr>
          <w:trHeight w:val="480"/>
        </w:trPr>
        <w:tc>
          <w:tcPr>
            <w:shd w:val="clear" w:fill="auto" w:color="auto"/>
            <w:tcW w:w="2283" w:type="dxa"/>
            <w:vAlign w:val="center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Гарантийный период </w:t>
            </w:r>
            <w:r/>
          </w:p>
        </w:tc>
        <w:tc>
          <w:tcPr>
            <w:shd w:val="clear" w:fill="auto" w:color="auto"/>
            <w:tcW w:w="993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36мес /</w:t>
            </w:r>
            <w:r/>
          </w:p>
          <w:p>
            <w:pPr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200 000 км</w:t>
            </w:r>
            <w:r/>
          </w:p>
        </w:tc>
        <w:tc>
          <w:tcPr>
            <w:shd w:val="clear" w:fill="auto" w:color="auto"/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 </w:t>
            </w:r>
            <w:r>
              <w:rPr>
                <w:sz w:val="22"/>
                <w:szCs w:val="22"/>
              </w:rPr>
              <w:t xml:space="preserve">мес</w:t>
            </w:r>
            <w:r>
              <w:rPr>
                <w:sz w:val="22"/>
                <w:szCs w:val="22"/>
              </w:rPr>
              <w:t xml:space="preserve"> / </w:t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100 000 км</w:t>
            </w:r>
            <w:r/>
          </w:p>
        </w:tc>
        <w:tc>
          <w:tcPr>
            <w:shd w:val="clear" w:fill="auto" w:color="auto"/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24мес/</w:t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 60</w:t>
            </w:r>
            <w:r>
              <w:rPr>
                <w:sz w:val="22"/>
                <w:szCs w:val="22"/>
              </w:rPr>
              <w:t xml:space="preserve"> </w:t>
            </w:r>
            <w:r>
              <w:rPr>
                <w:sz w:val="22"/>
                <w:szCs w:val="22"/>
                <w:lang w:val="en-US"/>
              </w:rPr>
              <w:t xml:space="preserve">000км</w:t>
            </w:r>
            <w:r/>
          </w:p>
        </w:tc>
        <w:tc>
          <w:tcPr>
            <w:shd w:val="clear" w:fill="auto" w:color="auto"/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24мес / </w:t>
            </w:r>
            <w:r>
              <w:rPr>
                <w:sz w:val="22"/>
                <w:szCs w:val="22"/>
              </w:rPr>
              <w:br/>
              <w:t xml:space="preserve">100 000 км</w:t>
            </w:r>
            <w:r/>
          </w:p>
        </w:tc>
      </w:tr>
    </w:tbl>
    <w:p>
      <w:pPr>
        <w:contextualSpacing w:val="true"/>
        <w:ind w:left="1593"/>
        <w:jc w:val="both"/>
        <w:tabs>
          <w:tab w:val="left" w:pos="0" w:leader="none"/>
        </w:tabs>
        <w:rPr>
          <w:b/>
          <w:sz w:val="22"/>
          <w:szCs w:val="22"/>
        </w:rPr>
      </w:pPr>
      <w:r>
        <w:rPr>
          <w:b/>
          <w:sz w:val="22"/>
          <w:szCs w:val="22"/>
        </w:rPr>
      </w:r>
      <w:r/>
    </w:p>
    <w:tbl>
      <w:tblPr>
        <w:tblW w:w="6432" w:type="dxa"/>
        <w:tblInd w:w="966" w:type="dxa"/>
        <w:tblLook w:val="04A0" w:firstRow="1" w:lastRow="0" w:firstColumn="1" w:lastColumn="0" w:noHBand="0" w:noVBand="1"/>
      </w:tblPr>
      <w:tblGrid>
        <w:gridCol w:w="1858"/>
        <w:gridCol w:w="718"/>
        <w:gridCol w:w="718"/>
        <w:gridCol w:w="864"/>
        <w:gridCol w:w="840"/>
        <w:gridCol w:w="718"/>
        <w:gridCol w:w="840"/>
      </w:tblGrid>
      <w:tr>
        <w:trPr>
          <w:trHeight w:val="353"/>
        </w:trPr>
        <w:tc>
          <w:tcPr>
            <w:gridSpan w:val="7"/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432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Электрический легковой Автомобиль</w:t>
            </w:r>
            <w:r/>
          </w:p>
        </w:tc>
      </w:tr>
      <w:tr>
        <w:trPr>
          <w:trHeight w:val="372"/>
        </w:trPr>
        <w:tc>
          <w:tcPr>
            <w:shd w:val="clear" w:fill="auto" w:color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12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Модель</w:t>
            </w:r>
            <w:r/>
          </w:p>
        </w:tc>
        <w:tc>
          <w:tcPr>
            <w:gridSpan w:val="6"/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30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Гарантийный срок (время или пробег - месяц / км)</w:t>
            </w:r>
            <w:r/>
          </w:p>
        </w:tc>
      </w:tr>
      <w:tr>
        <w:trPr>
          <w:trHeight w:val="255"/>
        </w:trPr>
        <w:tc>
          <w:tcPr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124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26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 xml:space="preserve">IEV4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 xml:space="preserve">IEV5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 xml:space="preserve">IEV6E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695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 xml:space="preserve">IEV6S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581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 xml:space="preserve">IEV7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888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 xml:space="preserve">IEV7S</w:t>
            </w:r>
            <w:r/>
          </w:p>
        </w:tc>
      </w:tr>
      <w:tr>
        <w:trPr>
          <w:trHeight w:val="292"/>
        </w:trPr>
        <w:tc>
          <w:tcPr>
            <w:shd w:val="clear" w:fill="auto" w:color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124" w:type="dxa"/>
            <w:vAlign w:val="center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Для некоммерческого использования</w:t>
            </w:r>
            <w:r/>
          </w:p>
        </w:tc>
        <w:tc>
          <w:tcPr>
            <w:gridSpan w:val="6"/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color="000000" w:sz="4" w:space="0"/>
              <w:bottom w:val="single" w:sz="4" w:space="0" w:color="auto"/>
            </w:tcBorders>
            <w:tcW w:w="430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36 </w:t>
            </w:r>
            <w:r>
              <w:rPr>
                <w:sz w:val="22"/>
                <w:szCs w:val="22"/>
              </w:rPr>
              <w:t xml:space="preserve">мес</w:t>
            </w:r>
            <w:r>
              <w:rPr>
                <w:sz w:val="22"/>
                <w:szCs w:val="22"/>
              </w:rPr>
              <w:t xml:space="preserve"> / 100 000 км</w:t>
            </w:r>
            <w:r/>
          </w:p>
        </w:tc>
      </w:tr>
      <w:tr>
        <w:trPr>
          <w:trHeight w:val="287"/>
        </w:trPr>
        <w:tc>
          <w:tcPr>
            <w:shd w:val="clear" w:fill="auto" w:color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124" w:type="dxa"/>
            <w:vAlign w:val="center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Для коммерческого использования</w:t>
            </w:r>
            <w:r/>
          </w:p>
        </w:tc>
        <w:tc>
          <w:tcPr>
            <w:gridSpan w:val="6"/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color="000000" w:sz="4" w:space="0"/>
              <w:bottom w:val="single" w:sz="4" w:space="0" w:color="auto"/>
            </w:tcBorders>
            <w:tcW w:w="430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 </w:t>
            </w:r>
            <w:r>
              <w:rPr>
                <w:sz w:val="22"/>
                <w:szCs w:val="22"/>
              </w:rPr>
              <w:t xml:space="preserve">мес</w:t>
            </w:r>
            <w:r>
              <w:rPr>
                <w:sz w:val="22"/>
                <w:szCs w:val="22"/>
              </w:rPr>
              <w:t xml:space="preserve"> / 100 000 км</w:t>
            </w:r>
            <w:r/>
          </w:p>
        </w:tc>
      </w:tr>
    </w:tbl>
    <w:p>
      <w:pPr>
        <w:spacing w:lineRule="auto" w:line="276"/>
        <w:rPr>
          <w:b/>
          <w:sz w:val="22"/>
          <w:szCs w:val="22"/>
        </w:rPr>
      </w:pPr>
      <w:r>
        <w:rPr>
          <w:b/>
          <w:sz w:val="22"/>
          <w:szCs w:val="22"/>
        </w:rPr>
      </w:r>
      <w:r/>
    </w:p>
    <w:tbl>
      <w:tblPr>
        <w:tblW w:w="6394" w:type="dxa"/>
        <w:tblInd w:w="966" w:type="dxa"/>
        <w:tblLook w:val="04A0" w:firstRow="1" w:lastRow="0" w:firstColumn="1" w:lastColumn="0" w:noHBand="0" w:noVBand="1"/>
      </w:tblPr>
      <w:tblGrid>
        <w:gridCol w:w="2283"/>
        <w:gridCol w:w="4111"/>
      </w:tblGrid>
      <w:tr>
        <w:trPr>
          <w:trHeight w:val="255"/>
        </w:trPr>
        <w:tc>
          <w:tcPr>
            <w:gridSpan w:val="2"/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394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Электрический Коммерческий Автомобиль</w:t>
            </w:r>
            <w:r/>
          </w:p>
        </w:tc>
      </w:tr>
      <w:tr>
        <w:trPr>
          <w:trHeight w:val="255"/>
        </w:trPr>
        <w:tc>
          <w:tcPr>
            <w:shd w:val="clear" w:fill="auto" w:color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283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Транспортное средство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11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Гарантийный срок (время или пробег - месяц / км)</w:t>
            </w:r>
            <w:r/>
          </w:p>
        </w:tc>
      </w:tr>
      <w:tr>
        <w:trPr>
          <w:trHeight w:val="255"/>
        </w:trPr>
        <w:tc>
          <w:tcPr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283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111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 xml:space="preserve">I3</w:t>
            </w:r>
            <w:r/>
          </w:p>
        </w:tc>
      </w:tr>
      <w:tr>
        <w:trPr>
          <w:trHeight w:val="270"/>
        </w:trPr>
        <w:tc>
          <w:tcPr>
            <w:shd w:val="clear" w:fill="auto" w:color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283" w:type="dxa"/>
            <w:vAlign w:val="center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Гарантийный период</w:t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color="000000" w:sz="4" w:space="0"/>
              <w:bottom w:val="single" w:sz="4" w:space="0" w:color="auto"/>
            </w:tcBorders>
            <w:tcW w:w="411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24мес/60000км</w:t>
            </w:r>
            <w:r/>
          </w:p>
        </w:tc>
      </w:tr>
    </w:tbl>
    <w:p>
      <w:pPr>
        <w:contextualSpacing w:val="true"/>
        <w:ind w:left="720"/>
        <w:jc w:val="both"/>
        <w:tabs>
          <w:tab w:val="left" w:pos="0" w:leader="none"/>
        </w:tabs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pStyle w:val="626"/>
        <w:numPr>
          <w:ilvl w:val="0"/>
          <w:numId w:val="2"/>
        </w:numPr>
        <w:jc w:val="both"/>
        <w:tabs>
          <w:tab w:val="left" w:pos="0" w:leader="none"/>
        </w:tabs>
        <w:rPr>
          <w:sz w:val="22"/>
          <w:szCs w:val="22"/>
        </w:rPr>
      </w:pPr>
      <w:r>
        <w:rPr>
          <w:sz w:val="22"/>
          <w:szCs w:val="22"/>
        </w:rPr>
        <w:t xml:space="preserve">Все права Покупателя (Собственника) на гарантийный ремонт автомобиля теряют силу с завершением гарантийного периода;</w:t>
      </w:r>
      <w:r/>
    </w:p>
    <w:p>
      <w:pPr>
        <w:pStyle w:val="626"/>
        <w:numPr>
          <w:ilvl w:val="0"/>
          <w:numId w:val="2"/>
        </w:numPr>
        <w:jc w:val="both"/>
        <w:tabs>
          <w:tab w:val="left" w:pos="0" w:leader="none"/>
        </w:tabs>
        <w:rPr>
          <w:sz w:val="22"/>
          <w:szCs w:val="22"/>
        </w:rPr>
      </w:pPr>
      <w:r>
        <w:rPr>
          <w:sz w:val="22"/>
          <w:szCs w:val="22"/>
        </w:rPr>
        <w:t xml:space="preserve">Гарантийные обязательства Продавца вступают в силу с момента оформления сервисной книжки и подписания сторонами Акта приёма-передачи транспортных средств; </w:t>
      </w:r>
      <w:r/>
    </w:p>
    <w:p>
      <w:pPr>
        <w:pStyle w:val="626"/>
        <w:numPr>
          <w:ilvl w:val="0"/>
          <w:numId w:val="2"/>
        </w:numPr>
        <w:jc w:val="both"/>
        <w:tabs>
          <w:tab w:val="left" w:pos="0" w:leader="none"/>
        </w:tabs>
        <w:rPr>
          <w:sz w:val="22"/>
          <w:szCs w:val="22"/>
        </w:rPr>
      </w:pPr>
      <w:r>
        <w:rPr>
          <w:sz w:val="22"/>
          <w:szCs w:val="22"/>
        </w:rPr>
        <w:t xml:space="preserve">В случае смены Собственника гарантийный срок на Автомобиль определяется от даты его передачи (согласно Акта приёма-передачи) первому Покупателю, указанному в Сервисной книжке, и действует на протяжении установленного при первой продаже срока; </w:t>
      </w:r>
      <w:r/>
    </w:p>
    <w:p>
      <w:pPr>
        <w:pStyle w:val="626"/>
        <w:numPr>
          <w:ilvl w:val="0"/>
          <w:numId w:val="2"/>
        </w:numPr>
        <w:jc w:val="both"/>
        <w:tabs>
          <w:tab w:val="left" w:pos="709" w:leader="none"/>
        </w:tabs>
        <w:rPr>
          <w:sz w:val="22"/>
          <w:szCs w:val="22"/>
        </w:rPr>
      </w:pPr>
      <w:r>
        <w:rPr>
          <w:sz w:val="22"/>
          <w:szCs w:val="22"/>
        </w:rPr>
        <w:t xml:space="preserve">Гарантийный ремонт, при выявлении заводских дефектов деталей, подтвержденных официальным дилером, осуществляется в зависимости от сложности ремонта, но не более:</w:t>
      </w:r>
      <w:r/>
    </w:p>
    <w:p>
      <w:pPr>
        <w:pStyle w:val="626"/>
        <w:jc w:val="both"/>
        <w:tabs>
          <w:tab w:val="left" w:pos="709" w:leader="none"/>
        </w:tabs>
        <w:rPr>
          <w:sz w:val="22"/>
          <w:szCs w:val="22"/>
        </w:rPr>
      </w:pPr>
      <w:r>
        <w:rPr>
          <w:sz w:val="22"/>
          <w:szCs w:val="22"/>
        </w:rPr>
        <w:t xml:space="preserve">- 30 календарных дней при условии наличия всех запасных частей на складе дистрибуции;</w:t>
      </w:r>
      <w:r/>
    </w:p>
    <w:p>
      <w:pPr>
        <w:pStyle w:val="626"/>
        <w:jc w:val="both"/>
        <w:tabs>
          <w:tab w:val="left" w:pos="709" w:leader="none"/>
        </w:tabs>
        <w:rPr>
          <w:sz w:val="22"/>
          <w:szCs w:val="22"/>
        </w:rPr>
      </w:pPr>
      <w:r>
        <w:rPr>
          <w:sz w:val="22"/>
          <w:szCs w:val="22"/>
        </w:rPr>
        <w:t xml:space="preserve">- 60 календарных дней с учетом доставки, при условии заказа запасных частей. </w:t>
      </w:r>
      <w:r/>
    </w:p>
    <w:p>
      <w:pPr>
        <w:pStyle w:val="626"/>
        <w:jc w:val="both"/>
        <w:tabs>
          <w:tab w:val="left" w:pos="709" w:leader="none"/>
        </w:tabs>
        <w:rPr>
          <w:sz w:val="22"/>
          <w:szCs w:val="22"/>
        </w:rPr>
      </w:pPr>
      <w:r>
        <w:rPr>
          <w:sz w:val="22"/>
          <w:szCs w:val="22"/>
        </w:rPr>
        <w:t xml:space="preserve">Срок гарантийного ремонта исчисляется с момента приёма автомобиля на гарантийный ремонт, дилерским центром Продавца;</w:t>
      </w:r>
      <w:r/>
    </w:p>
    <w:p>
      <w:pPr>
        <w:jc w:val="both"/>
        <w:tabs>
          <w:tab w:val="left" w:pos="0" w:leader="none"/>
        </w:tabs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pStyle w:val="626"/>
        <w:numPr>
          <w:ilvl w:val="1"/>
          <w:numId w:val="3"/>
        </w:numPr>
        <w:ind w:hanging="644"/>
        <w:jc w:val="both"/>
        <w:tabs>
          <w:tab w:val="left" w:pos="0" w:leader="none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Гарантия на кузов автомобиля </w:t>
      </w:r>
      <w:r>
        <w:rPr>
          <w:b/>
          <w:sz w:val="22"/>
          <w:szCs w:val="22"/>
          <w:lang w:val="en-US"/>
        </w:rPr>
        <w:t xml:space="preserve">JAC</w:t>
      </w:r>
      <w:r>
        <w:rPr>
          <w:b/>
          <w:sz w:val="22"/>
          <w:szCs w:val="22"/>
        </w:rPr>
        <w:t xml:space="preserve">.</w:t>
      </w:r>
      <w:r/>
    </w:p>
    <w:p>
      <w:pPr>
        <w:jc w:val="both"/>
        <w:tabs>
          <w:tab w:val="left" w:pos="0" w:leader="none"/>
        </w:tabs>
        <w:rPr>
          <w:sz w:val="22"/>
          <w:szCs w:val="22"/>
        </w:rPr>
      </w:pPr>
      <w:r>
        <w:rPr>
          <w:sz w:val="22"/>
          <w:szCs w:val="22"/>
        </w:rPr>
        <w:t xml:space="preserve">Устранение заводских дефектов лакокрасочного покрытия и сквозной гарантии (коррозии, направленной от внутренней стороны элемента кузова к наружной стороне) осуществляется после одобрения бренд-держателя </w:t>
      </w:r>
      <w:r>
        <w:rPr>
          <w:sz w:val="22"/>
          <w:szCs w:val="22"/>
          <w:lang w:val="en-US"/>
        </w:rPr>
        <w:t xml:space="preserve">JAC</w:t>
      </w:r>
      <w:r>
        <w:rPr>
          <w:sz w:val="22"/>
          <w:szCs w:val="22"/>
        </w:rPr>
        <w:t xml:space="preserve">.</w:t>
      </w:r>
      <w:r/>
    </w:p>
    <w:p>
      <w:pPr>
        <w:jc w:val="both"/>
        <w:tabs>
          <w:tab w:val="left" w:pos="0" w:leader="none"/>
        </w:tabs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numPr>
          <w:ilvl w:val="1"/>
          <w:numId w:val="3"/>
        </w:numPr>
        <w:contextualSpacing w:val="true"/>
        <w:ind w:hanging="644"/>
        <w:tabs>
          <w:tab w:val="left" w:pos="0" w:leader="none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Гарантийный период на отдельные узлы и детали автомобилей </w:t>
      </w:r>
      <w:r>
        <w:rPr>
          <w:b/>
          <w:sz w:val="22"/>
          <w:szCs w:val="22"/>
          <w:lang w:val="en-US"/>
        </w:rPr>
        <w:t xml:space="preserve">JAC</w:t>
      </w:r>
      <w:r>
        <w:rPr>
          <w:b/>
          <w:sz w:val="22"/>
          <w:szCs w:val="22"/>
        </w:rPr>
        <w:t xml:space="preserve"> (после истечения указанных пробегов, любой износ деталей определяется как естественный):</w:t>
      </w:r>
      <w:r/>
    </w:p>
    <w:p>
      <w:pPr>
        <w:contextualSpacing w:val="true"/>
        <w:ind w:left="644"/>
        <w:jc w:val="both"/>
        <w:tabs>
          <w:tab w:val="left" w:pos="0" w:leader="none"/>
        </w:tabs>
        <w:rPr>
          <w:sz w:val="22"/>
          <w:szCs w:val="22"/>
        </w:rPr>
      </w:pPr>
      <w:r>
        <w:rPr>
          <w:b/>
          <w:sz w:val="22"/>
          <w:szCs w:val="22"/>
        </w:rPr>
        <w:t xml:space="preserve">12 месяцев или 30 000 км пробега в зависимости от того, что наступит ранее –</w:t>
      </w:r>
      <w:r>
        <w:rPr>
          <w:sz w:val="22"/>
          <w:szCs w:val="22"/>
        </w:rPr>
        <w:t xml:space="preserve">амортизаторы, все стекла автомобиля, резиновые прокладки, все разновидности масляных уплотнений, все разновидности подшипников, медиа-система, топливный насос, аккумуляторная батарея;</w:t>
      </w:r>
      <w:r/>
    </w:p>
    <w:p>
      <w:pPr>
        <w:contextualSpacing w:val="true"/>
        <w:ind w:left="644"/>
        <w:jc w:val="both"/>
        <w:tabs>
          <w:tab w:val="left" w:pos="0" w:leader="none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3 месяца или 8 000 км пробега в зависимости от того, что наступит ранее</w:t>
      </w:r>
      <w:r>
        <w:rPr>
          <w:sz w:val="22"/>
          <w:szCs w:val="22"/>
        </w:rPr>
        <w:t xml:space="preserve"> – все разновидности ремней и фильтров, нажимные диски сцепления, фрикционные накладки тормозных колодок, щетки стеклоочистителей, топливные форсунки, батареи устройств дистанционного управления.  </w:t>
      </w:r>
      <w:r/>
    </w:p>
    <w:p>
      <w:pPr>
        <w:contextualSpacing w:val="true"/>
        <w:ind w:left="567"/>
        <w:jc w:val="both"/>
        <w:tabs>
          <w:tab w:val="left" w:pos="0" w:leader="none"/>
        </w:tabs>
        <w:rPr>
          <w:b/>
          <w:sz w:val="22"/>
          <w:szCs w:val="22"/>
          <w:highlight w:val="yellow"/>
        </w:rPr>
      </w:pPr>
      <w:r>
        <w:rPr>
          <w:b/>
          <w:sz w:val="22"/>
          <w:szCs w:val="22"/>
          <w:highlight w:val="yellow"/>
        </w:rPr>
      </w:r>
      <w:r/>
    </w:p>
    <w:p>
      <w:pPr>
        <w:pStyle w:val="626"/>
        <w:numPr>
          <w:ilvl w:val="1"/>
          <w:numId w:val="3"/>
        </w:numPr>
        <w:ind w:hanging="644"/>
        <w:jc w:val="both"/>
        <w:tabs>
          <w:tab w:val="left" w:pos="0" w:leader="none"/>
        </w:tabs>
        <w:rPr>
          <w:b/>
          <w:sz w:val="22"/>
          <w:szCs w:val="22"/>
        </w:rPr>
      </w:pPr>
      <w:r>
        <w:rPr>
          <w:b/>
          <w:sz w:val="22"/>
          <w:szCs w:val="22"/>
          <w:u w:val="single"/>
        </w:rPr>
        <w:t xml:space="preserve">Гарантия не распространяется</w:t>
      </w:r>
      <w:r>
        <w:rPr>
          <w:b/>
          <w:sz w:val="22"/>
          <w:szCs w:val="22"/>
        </w:rPr>
        <w:t xml:space="preserve"> на отдельные узлы и детали, подвергающихся естественному износу, зависящему от интенсивности условий эксплуатации и стиля вождения владельца автомобиля </w:t>
      </w:r>
      <w:r>
        <w:rPr>
          <w:b/>
          <w:spacing w:val="-4"/>
          <w:sz w:val="22"/>
          <w:szCs w:val="22"/>
        </w:rPr>
        <w:t xml:space="preserve">и неблагоприятным воздействием окружающей среды</w:t>
      </w:r>
      <w:r>
        <w:rPr>
          <w:b/>
          <w:sz w:val="22"/>
          <w:szCs w:val="22"/>
        </w:rPr>
        <w:t xml:space="preserve">:</w:t>
      </w:r>
      <w:r/>
    </w:p>
    <w:p>
      <w:pPr>
        <w:numPr>
          <w:ilvl w:val="0"/>
          <w:numId w:val="7"/>
        </w:numPr>
        <w:contextualSpacing w:val="true"/>
        <w:ind w:left="900"/>
        <w:jc w:val="both"/>
        <w:tabs>
          <w:tab w:val="left" w:pos="0" w:leader="none"/>
          <w:tab w:val="left" w:pos="142" w:leader="none"/>
        </w:tabs>
        <w:rPr>
          <w:sz w:val="22"/>
          <w:szCs w:val="22"/>
        </w:rPr>
      </w:pPr>
      <w:r>
        <w:rPr>
          <w:sz w:val="22"/>
          <w:szCs w:val="22"/>
        </w:rPr>
        <w:t xml:space="preserve">плавкие предохранител</w:t>
      </w:r>
      <w:r>
        <w:rPr>
          <w:sz w:val="22"/>
          <w:szCs w:val="22"/>
        </w:rPr>
        <w:t xml:space="preserve">и, лампочки фар и фонарей, свечи зажигания, расходные материалы (консистентная смазка, масло, охлаждающая жидкость, жидкость гидроусилителя руля, тормозная жидкость, хладагент кондиционера), шины, пластиковые и хромированные детали экстерьера и интерьера, </w:t>
      </w:r>
      <w:r>
        <w:rPr>
          <w:spacing w:val="-4"/>
          <w:sz w:val="22"/>
          <w:szCs w:val="22"/>
        </w:rPr>
        <w:t xml:space="preserve">жиклеры </w:t>
      </w:r>
      <w:r>
        <w:rPr>
          <w:spacing w:val="-4"/>
          <w:sz w:val="22"/>
          <w:szCs w:val="22"/>
        </w:rPr>
        <w:t xml:space="preserve">омывателей</w:t>
      </w:r>
      <w:r>
        <w:rPr>
          <w:spacing w:val="-4"/>
          <w:sz w:val="22"/>
          <w:szCs w:val="22"/>
        </w:rPr>
        <w:t xml:space="preserve">, при условии отсутствия дефектов производства и материала;</w:t>
      </w:r>
      <w:r/>
    </w:p>
    <w:p>
      <w:pPr>
        <w:pStyle w:val="626"/>
        <w:numPr>
          <w:ilvl w:val="0"/>
          <w:numId w:val="7"/>
        </w:numPr>
        <w:ind w:left="900"/>
        <w:jc w:val="both"/>
        <w:spacing w:after="40"/>
        <w:shd w:val="clear" w:fill="FFFFFF" w:color="auto"/>
        <w:widowControl w:val="off"/>
        <w:tabs>
          <w:tab w:val="left" w:pos="180" w:leader="none"/>
          <w:tab w:val="num" w:pos="540" w:leader="none"/>
          <w:tab w:val="left" w:pos="10210" w:leader="dot"/>
        </w:tabs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 xml:space="preserve">на функциональные звуки, шум, вибрацию, которые не влияют на характеристики и работоспособность Автомобиля или его элементов и не снижают их ресурс;</w:t>
      </w:r>
      <w:r/>
    </w:p>
    <w:p>
      <w:pPr>
        <w:pStyle w:val="626"/>
        <w:numPr>
          <w:ilvl w:val="0"/>
          <w:numId w:val="7"/>
        </w:numPr>
        <w:ind w:left="900"/>
        <w:jc w:val="both"/>
        <w:spacing w:after="40"/>
        <w:shd w:val="clear" w:fill="FFFFFF" w:color="auto"/>
        <w:widowControl w:val="off"/>
        <w:tabs>
          <w:tab w:val="left" w:pos="180" w:leader="none"/>
          <w:tab w:val="num" w:pos="540" w:leader="none"/>
          <w:tab w:val="left" w:pos="10210" w:leader="dot"/>
        </w:tabs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 xml:space="preserve">на появление масляных пятен (запотевание) на поверхности узлов и агрегатов в местах сопряжений, сальниковых уплотнений, не приводящих к расходу жидкостей выше допустимого и не влияющих на технические характеристики и работоспособность Автомобиля;</w:t>
      </w:r>
      <w:r/>
    </w:p>
    <w:p>
      <w:pPr>
        <w:pStyle w:val="626"/>
        <w:numPr>
          <w:ilvl w:val="0"/>
          <w:numId w:val="7"/>
        </w:numPr>
        <w:ind w:left="900"/>
        <w:jc w:val="both"/>
        <w:spacing w:after="40"/>
        <w:shd w:val="clear" w:fill="FFFFFF" w:color="auto"/>
        <w:widowControl w:val="off"/>
        <w:tabs>
          <w:tab w:val="left" w:pos="180" w:leader="none"/>
          <w:tab w:val="num" w:pos="540" w:leader="none"/>
          <w:tab w:val="left" w:pos="10210" w:leader="dot"/>
        </w:tabs>
        <w:rPr>
          <w:spacing w:val="-4"/>
          <w:sz w:val="22"/>
          <w:szCs w:val="22"/>
        </w:rPr>
      </w:pPr>
      <w:r>
        <w:rPr>
          <w:b/>
          <w:sz w:val="22"/>
          <w:szCs w:val="22"/>
        </w:rPr>
        <w:t xml:space="preserve"> Условия предоставления Дилером гарантийных услуг.</w:t>
      </w:r>
      <w:r/>
    </w:p>
    <w:p>
      <w:pPr>
        <w:pStyle w:val="626"/>
        <w:ind w:left="360"/>
        <w:jc w:val="both"/>
        <w:spacing w:after="240" w:before="360"/>
        <w:tabs>
          <w:tab w:val="left" w:pos="540" w:leader="none"/>
          <w:tab w:val="left" w:pos="851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  <w:tab w:val="left" w:pos="10620" w:leader="none"/>
          <w:tab w:val="left" w:pos="11328" w:leader="none"/>
          <w:tab w:val="left" w:pos="12036" w:leader="none"/>
          <w:tab w:val="left" w:pos="12744" w:leader="none"/>
          <w:tab w:val="left" w:pos="13452" w:leader="none"/>
          <w:tab w:val="left" w:pos="14160" w:leader="none"/>
          <w:tab w:val="left" w:pos="14868" w:leader="none"/>
          <w:tab w:val="left" w:pos="15576" w:leader="none"/>
          <w:tab w:val="left" w:pos="16284" w:leader="none"/>
          <w:tab w:val="left" w:pos="16992" w:leader="none"/>
          <w:tab w:val="left" w:pos="17700" w:leader="none"/>
          <w:tab w:val="left" w:pos="18408" w:leader="none"/>
          <w:tab w:val="left" w:pos="19116" w:leader="none"/>
          <w:tab w:val="left" w:pos="19824" w:leader="none"/>
          <w:tab w:val="left" w:pos="20532" w:leader="none"/>
          <w:tab w:val="left" w:pos="21240" w:leader="none"/>
          <w:tab w:val="left" w:pos="21948" w:leader="none"/>
          <w:tab w:val="left" w:pos="22656" w:leader="none"/>
          <w:tab w:val="left" w:pos="23364" w:leader="none"/>
          <w:tab w:val="left" w:pos="24072" w:leader="none"/>
          <w:tab w:val="left" w:pos="24780" w:leader="none"/>
          <w:tab w:val="left" w:pos="25488" w:leader="none"/>
          <w:tab w:val="left" w:pos="26196" w:leader="none"/>
          <w:tab w:val="left" w:pos="26904" w:leader="none"/>
          <w:tab w:val="left" w:pos="27612" w:leader="none"/>
          <w:tab w:val="left" w:pos="28320" w:leader="none"/>
        </w:tabs>
        <w:rPr>
          <w:b/>
          <w:sz w:val="22"/>
          <w:szCs w:val="22"/>
        </w:rPr>
      </w:pPr>
      <w:r>
        <w:rPr>
          <w:b/>
          <w:sz w:val="22"/>
          <w:szCs w:val="22"/>
        </w:rPr>
      </w:r>
      <w:r/>
    </w:p>
    <w:p>
      <w:pPr>
        <w:pStyle w:val="626"/>
        <w:numPr>
          <w:ilvl w:val="1"/>
          <w:numId w:val="10"/>
        </w:numPr>
        <w:jc w:val="both"/>
        <w:tabs>
          <w:tab w:val="left" w:pos="709" w:leader="none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Гарантийные обязательства Продавца (Производителя) теряют силу:</w:t>
      </w:r>
      <w:r/>
    </w:p>
    <w:p>
      <w:pPr>
        <w:numPr>
          <w:ilvl w:val="0"/>
          <w:numId w:val="8"/>
        </w:numPr>
        <w:contextualSpacing w:val="true"/>
        <w:ind w:left="900" w:hanging="360"/>
        <w:jc w:val="both"/>
        <w:tabs>
          <w:tab w:val="left" w:pos="1276" w:leader="none"/>
        </w:tabs>
        <w:rPr>
          <w:sz w:val="22"/>
          <w:szCs w:val="22"/>
        </w:rPr>
      </w:pPr>
      <w:r>
        <w:rPr>
          <w:sz w:val="22"/>
          <w:szCs w:val="22"/>
        </w:rPr>
        <w:t xml:space="preserve">При нарушении правил эксплуатации автомобиля и норм Производителя, изложенных в «Руководстве по эксплуатации», в том числе при использовании горюче-смазочных материалов, которые не входят в перечень разрешенных для использования на автомобилях </w:t>
      </w:r>
      <w:r>
        <w:rPr>
          <w:sz w:val="22"/>
          <w:szCs w:val="22"/>
          <w:lang w:val="en-US"/>
        </w:rPr>
        <w:t xml:space="preserve">JAC</w:t>
      </w:r>
      <w:r>
        <w:rPr>
          <w:sz w:val="22"/>
          <w:szCs w:val="22"/>
        </w:rPr>
        <w:t xml:space="preserve">;</w:t>
      </w:r>
      <w:r/>
    </w:p>
    <w:p>
      <w:pPr>
        <w:numPr>
          <w:ilvl w:val="0"/>
          <w:numId w:val="8"/>
        </w:numPr>
        <w:contextualSpacing w:val="true"/>
        <w:ind w:left="900" w:hanging="360"/>
        <w:jc w:val="both"/>
        <w:tabs>
          <w:tab w:val="left" w:pos="1276" w:leader="none"/>
        </w:tabs>
        <w:rPr>
          <w:sz w:val="22"/>
          <w:szCs w:val="22"/>
        </w:rPr>
      </w:pPr>
      <w:r>
        <w:rPr>
          <w:sz w:val="22"/>
          <w:szCs w:val="22"/>
        </w:rPr>
        <w:t xml:space="preserve">В случае не прохождения или несоблюдения периодичности и объемов работ по регламентному т</w:t>
      </w:r>
      <w:r>
        <w:rPr>
          <w:sz w:val="22"/>
          <w:szCs w:val="22"/>
        </w:rPr>
        <w:t xml:space="preserve">ехническому обслуживанию, указанных в Сервисной книжке, отсутствия подтверждения о прохождении данного обслуживания в Сервисной книжке (отметки в Сервисной книжке должны быть заверены подписью и печатью уполномоченного Дилера, который выполнял эти работы);</w:t>
      </w:r>
      <w:r/>
    </w:p>
    <w:p>
      <w:pPr>
        <w:numPr>
          <w:ilvl w:val="0"/>
          <w:numId w:val="8"/>
        </w:numPr>
        <w:contextualSpacing w:val="true"/>
        <w:ind w:left="900" w:hanging="360"/>
        <w:jc w:val="both"/>
        <w:tabs>
          <w:tab w:val="left" w:pos="1276" w:leader="none"/>
        </w:tabs>
        <w:rPr>
          <w:sz w:val="22"/>
          <w:szCs w:val="22"/>
        </w:rPr>
      </w:pPr>
      <w:r>
        <w:rPr>
          <w:sz w:val="22"/>
          <w:szCs w:val="22"/>
        </w:rPr>
        <w:t xml:space="preserve">В случае прохождения регламентного технического обслуживания, ремонта и установки дополнительного оборудования на предприятиях, которые не имеют статуса официального Дилера;</w:t>
      </w:r>
      <w:r/>
    </w:p>
    <w:p>
      <w:pPr>
        <w:numPr>
          <w:ilvl w:val="0"/>
          <w:numId w:val="8"/>
        </w:numPr>
        <w:contextualSpacing w:val="true"/>
        <w:ind w:left="900" w:hanging="360"/>
        <w:jc w:val="both"/>
        <w:tabs>
          <w:tab w:val="left" w:pos="1276" w:leader="none"/>
        </w:tabs>
        <w:rPr>
          <w:sz w:val="22"/>
          <w:szCs w:val="22"/>
        </w:rPr>
      </w:pPr>
      <w:r>
        <w:rPr>
          <w:sz w:val="22"/>
          <w:szCs w:val="22"/>
        </w:rPr>
        <w:t xml:space="preserve">При использовании Автомобиля не по назначению (участие в гонках, выполнение профессиональных пассажирских перевозок, использование автомобиля в режиме </w:t>
      </w:r>
      <w:r>
        <w:rPr>
          <w:sz w:val="22"/>
          <w:szCs w:val="22"/>
          <w:lang w:val="en-US"/>
        </w:rPr>
        <w:t xml:space="preserve">TAXI</w:t>
      </w:r>
      <w:r>
        <w:rPr>
          <w:sz w:val="22"/>
          <w:szCs w:val="22"/>
        </w:rPr>
        <w:t xml:space="preserve">, использование автомобиля для подготовки водителей в качестве учебного транспортного средства, предоставление автомобиля в прокат (кроме случаев, обусловленных заключением специального Договора);</w:t>
      </w:r>
      <w:r/>
    </w:p>
    <w:p>
      <w:pPr>
        <w:numPr>
          <w:ilvl w:val="0"/>
          <w:numId w:val="8"/>
        </w:numPr>
        <w:contextualSpacing w:val="true"/>
        <w:ind w:left="900" w:hanging="360"/>
        <w:jc w:val="both"/>
        <w:tabs>
          <w:tab w:val="left" w:pos="1276" w:leader="none"/>
        </w:tabs>
        <w:rPr>
          <w:sz w:val="22"/>
          <w:szCs w:val="22"/>
        </w:rPr>
      </w:pPr>
      <w:r>
        <w:rPr>
          <w:sz w:val="22"/>
          <w:szCs w:val="22"/>
        </w:rPr>
        <w:t xml:space="preserve">При неисправностях, повреждениях, которые возникли вследствие несанкционированных вмешательств (самостоятельный ремонт или ремонт в сторонних организациях);</w:t>
      </w:r>
      <w:r/>
    </w:p>
    <w:p>
      <w:pPr>
        <w:numPr>
          <w:ilvl w:val="0"/>
          <w:numId w:val="8"/>
        </w:numPr>
        <w:contextualSpacing w:val="true"/>
        <w:ind w:left="900" w:hanging="360"/>
        <w:jc w:val="both"/>
        <w:tabs>
          <w:tab w:val="left" w:pos="1276" w:leader="none"/>
        </w:tabs>
        <w:rPr>
          <w:sz w:val="22"/>
          <w:szCs w:val="22"/>
        </w:rPr>
      </w:pPr>
      <w:r>
        <w:rPr>
          <w:sz w:val="22"/>
          <w:szCs w:val="22"/>
        </w:rPr>
        <w:t xml:space="preserve">При перегрузке Автомобиля;</w:t>
      </w:r>
      <w:r/>
    </w:p>
    <w:p>
      <w:pPr>
        <w:numPr>
          <w:ilvl w:val="0"/>
          <w:numId w:val="8"/>
        </w:numPr>
        <w:contextualSpacing w:val="true"/>
        <w:ind w:left="900" w:hanging="360"/>
        <w:jc w:val="both"/>
        <w:tabs>
          <w:tab w:val="left" w:pos="1276" w:leader="none"/>
        </w:tabs>
        <w:rPr>
          <w:sz w:val="22"/>
          <w:szCs w:val="22"/>
        </w:rPr>
      </w:pPr>
      <w:r>
        <w:rPr>
          <w:sz w:val="22"/>
          <w:szCs w:val="22"/>
        </w:rPr>
        <w:t xml:space="preserve">При каком-либо повреждении Автомобиля вследствие дорожно-транспортного происшествия, при котором была необходимость замены одного из основных агрегатов (двигатель, коробка передач, пер</w:t>
      </w:r>
      <w:r>
        <w:rPr>
          <w:sz w:val="22"/>
          <w:szCs w:val="22"/>
        </w:rPr>
        <w:t xml:space="preserve">едняя и задняя подвеска, рулевое управление). А также вследствие повреждения автомобиля в других случаях или ремонте, где требуется замена базовой детали указанных агрегатов или при необходимости замены/правки (рихтовки) несъёмных силовых элементов кузова;</w:t>
      </w:r>
      <w:r/>
    </w:p>
    <w:p>
      <w:pPr>
        <w:numPr>
          <w:ilvl w:val="0"/>
          <w:numId w:val="8"/>
        </w:numPr>
        <w:contextualSpacing w:val="true"/>
        <w:ind w:left="900" w:hanging="360"/>
        <w:jc w:val="both"/>
        <w:tabs>
          <w:tab w:val="left" w:pos="1276" w:leader="none"/>
        </w:tabs>
        <w:rPr>
          <w:sz w:val="22"/>
          <w:szCs w:val="22"/>
        </w:rPr>
      </w:pPr>
      <w:r>
        <w:rPr>
          <w:sz w:val="22"/>
          <w:szCs w:val="22"/>
        </w:rPr>
        <w:t xml:space="preserve">При эксплуатации </w:t>
      </w:r>
      <w:r>
        <w:rPr>
          <w:sz w:val="22"/>
          <w:szCs w:val="22"/>
        </w:rPr>
        <w:t xml:space="preserve">Автомобиля при неработающем одометре (счетчике пройденного пути) или в случае выявления несоответствия его показателей фактическому пробегу Автомобиля (при замене одометра уполномоченный Дилер обязан сделать отметку с записью показаний в Сервисной книжке);</w:t>
      </w:r>
      <w:r/>
    </w:p>
    <w:p>
      <w:pPr>
        <w:numPr>
          <w:ilvl w:val="0"/>
          <w:numId w:val="8"/>
        </w:numPr>
        <w:contextualSpacing w:val="true"/>
        <w:ind w:left="900" w:hanging="360"/>
        <w:jc w:val="both"/>
        <w:tabs>
          <w:tab w:val="left" w:pos="1276" w:leader="none"/>
        </w:tabs>
        <w:rPr>
          <w:sz w:val="22"/>
          <w:szCs w:val="22"/>
        </w:rPr>
      </w:pPr>
      <w:r>
        <w:rPr>
          <w:sz w:val="22"/>
          <w:szCs w:val="22"/>
        </w:rPr>
        <w:t xml:space="preserve">При отсутствии Сервисной книжки;  </w:t>
      </w:r>
      <w:r/>
    </w:p>
    <w:p>
      <w:pPr>
        <w:numPr>
          <w:ilvl w:val="0"/>
          <w:numId w:val="8"/>
        </w:numPr>
        <w:contextualSpacing w:val="true"/>
        <w:ind w:left="900" w:hanging="360"/>
        <w:jc w:val="both"/>
        <w:tabs>
          <w:tab w:val="left" w:pos="1276" w:leader="none"/>
        </w:tabs>
        <w:rPr>
          <w:sz w:val="22"/>
          <w:szCs w:val="22"/>
        </w:rPr>
      </w:pPr>
      <w:r>
        <w:rPr>
          <w:sz w:val="22"/>
          <w:szCs w:val="22"/>
        </w:rPr>
        <w:t xml:space="preserve">При продолжении эксплуатации Покупателем (Собственником) неи</w:t>
      </w:r>
      <w:r>
        <w:rPr>
          <w:sz w:val="22"/>
          <w:szCs w:val="22"/>
        </w:rPr>
        <w:t xml:space="preserve">справного автомобиля и при несогласии клиента на проведение работ по устранению дополнительно возникших по его вине недостатков, угрожающих эксплуатации автомобиля, гарантийные обязательства изготовителя прекращаются, о чем сообщается в официальном письме.</w:t>
      </w:r>
      <w:r/>
    </w:p>
    <w:p>
      <w:pPr>
        <w:numPr>
          <w:ilvl w:val="0"/>
          <w:numId w:val="8"/>
        </w:numPr>
        <w:contextualSpacing w:val="true"/>
        <w:ind w:left="900" w:hanging="360"/>
        <w:jc w:val="both"/>
        <w:tabs>
          <w:tab w:val="left" w:pos="1276" w:leader="none"/>
        </w:tabs>
        <w:rPr>
          <w:sz w:val="22"/>
          <w:szCs w:val="22"/>
        </w:rPr>
      </w:pPr>
      <w:r>
        <w:rPr>
          <w:sz w:val="22"/>
          <w:szCs w:val="22"/>
        </w:rPr>
        <w:t xml:space="preserve">При замене стандартных узлов, деталей и агрегатов на узлы, детали и агрегаты, не предусмотренные нормативно-технической и конструкторской документацией Производителя;</w:t>
      </w:r>
      <w:r/>
    </w:p>
    <w:p>
      <w:pPr>
        <w:numPr>
          <w:ilvl w:val="0"/>
          <w:numId w:val="8"/>
        </w:numPr>
        <w:contextualSpacing w:val="true"/>
        <w:ind w:left="900" w:hanging="360"/>
        <w:jc w:val="both"/>
        <w:tabs>
          <w:tab w:val="left" w:pos="1276" w:leader="none"/>
        </w:tabs>
        <w:rPr>
          <w:sz w:val="22"/>
          <w:szCs w:val="22"/>
        </w:rPr>
      </w:pPr>
      <w:r>
        <w:rPr>
          <w:sz w:val="22"/>
          <w:szCs w:val="22"/>
        </w:rPr>
        <w:t xml:space="preserve">При нарушении Покупателем (Собственником) условий предоставления гарантийных услуг, указанных в Сервисной книжке.</w:t>
      </w:r>
      <w:r/>
    </w:p>
    <w:p>
      <w:pPr>
        <w:pStyle w:val="626"/>
        <w:numPr>
          <w:ilvl w:val="0"/>
          <w:numId w:val="8"/>
        </w:numPr>
        <w:ind w:left="851" w:hanging="284"/>
        <w:jc w:val="both"/>
        <w:widowControl w:val="off"/>
        <w:rPr>
          <w:sz w:val="22"/>
          <w:szCs w:val="22"/>
        </w:rPr>
      </w:pPr>
      <w:r>
        <w:rPr>
          <w:sz w:val="22"/>
          <w:szCs w:val="22"/>
        </w:rPr>
        <w:t xml:space="preserve">при самовольном внесении конструктивных изменений в эксплуатационные характе</w:t>
      </w:r>
      <w:r>
        <w:rPr>
          <w:sz w:val="22"/>
          <w:szCs w:val="22"/>
        </w:rPr>
        <w:t xml:space="preserve">ристики узлов и агрегатов, экстерьер и интерьер автомобиля, установке дополнительных приборов и принадлежностей, не одобренных заводом производителем или продавцом и установленных специалистами, не имеющими допуска на проведение подобных работ от Продавца;</w:t>
      </w:r>
      <w:r/>
    </w:p>
    <w:p>
      <w:pPr>
        <w:numPr>
          <w:ilvl w:val="1"/>
          <w:numId w:val="10"/>
        </w:numPr>
        <w:contextualSpacing w:val="true"/>
        <w:ind w:left="709" w:hanging="709"/>
        <w:jc w:val="both"/>
        <w:tabs>
          <w:tab w:val="left" w:pos="709" w:leader="none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Гарантийные обязательства Продавца (Производителя) не распространяются на:</w:t>
      </w:r>
      <w:r/>
    </w:p>
    <w:p>
      <w:pPr>
        <w:numPr>
          <w:ilvl w:val="0"/>
          <w:numId w:val="1"/>
        </w:numPr>
        <w:contextualSpacing w:val="true"/>
        <w:ind w:left="900"/>
        <w:jc w:val="both"/>
        <w:tabs>
          <w:tab w:val="left" w:pos="142" w:leader="none"/>
        </w:tabs>
        <w:rPr>
          <w:sz w:val="22"/>
          <w:szCs w:val="22"/>
        </w:rPr>
      </w:pPr>
      <w:r>
        <w:rPr>
          <w:sz w:val="22"/>
          <w:szCs w:val="22"/>
        </w:rPr>
        <w:t xml:space="preserve">Повреждения, в том числе кузова и лакокрасочного покрытия кузова, вследствие различных внешних природных и техногенных факторов, таких как: кислотные ливни, дожди, смолистые </w:t>
      </w:r>
      <w:r>
        <w:rPr>
          <w:sz w:val="22"/>
          <w:szCs w:val="22"/>
        </w:rPr>
        <w:t xml:space="preserve">осадки, промышленные и другие выхлопы, растительный сок, продукты жизнедеятельности птиц и животных, град, ураган, молния, неровности дорожного покрытия, удары камнями, воздействие солей, солевых смесей, песка, химических реагентов, используемых против обл</w:t>
      </w:r>
      <w:r>
        <w:rPr>
          <w:sz w:val="22"/>
          <w:szCs w:val="22"/>
        </w:rPr>
        <w:t xml:space="preserve">еденения дорог, битум, гудрон, пожар, наводнение, шторм, оползни, снег, землетрясение, другие природные или связанные с деятельностью человека факторы; вследствие стихийного бедствия и какого-либо механического воздействия во время эксплуатации Автомобиля;</w:t>
      </w:r>
      <w:r/>
    </w:p>
    <w:p>
      <w:pPr>
        <w:numPr>
          <w:ilvl w:val="0"/>
          <w:numId w:val="1"/>
        </w:numPr>
        <w:contextualSpacing w:val="true"/>
        <w:ind w:left="900"/>
        <w:jc w:val="both"/>
        <w:tabs>
          <w:tab w:val="left" w:pos="0" w:leader="none"/>
          <w:tab w:val="left" w:pos="142" w:leader="none"/>
        </w:tabs>
        <w:rPr>
          <w:sz w:val="22"/>
          <w:szCs w:val="22"/>
        </w:rPr>
      </w:pPr>
      <w:r>
        <w:rPr>
          <w:sz w:val="22"/>
          <w:szCs w:val="22"/>
        </w:rPr>
        <w:t xml:space="preserve">Недостатки вследствие ненадлежащего ухода или нарушений правил эксплуатации и хранения Автомобиля, выявленные во время эксплуатации Автомобиля;</w:t>
      </w:r>
      <w:r/>
    </w:p>
    <w:p>
      <w:pPr>
        <w:numPr>
          <w:ilvl w:val="0"/>
          <w:numId w:val="1"/>
        </w:numPr>
        <w:contextualSpacing w:val="true"/>
        <w:ind w:left="900"/>
        <w:jc w:val="both"/>
        <w:tabs>
          <w:tab w:val="left" w:pos="142" w:leader="none"/>
        </w:tabs>
        <w:rPr>
          <w:sz w:val="22"/>
          <w:szCs w:val="22"/>
        </w:rPr>
      </w:pPr>
      <w:r>
        <w:rPr>
          <w:sz w:val="22"/>
          <w:szCs w:val="22"/>
        </w:rPr>
        <w:t xml:space="preserve">Неисправности вследствие действий третьих лиц;</w:t>
      </w:r>
      <w:r/>
    </w:p>
    <w:p>
      <w:pPr>
        <w:numPr>
          <w:ilvl w:val="0"/>
          <w:numId w:val="1"/>
        </w:numPr>
        <w:contextualSpacing w:val="true"/>
        <w:ind w:left="900"/>
        <w:jc w:val="both"/>
        <w:tabs>
          <w:tab w:val="left" w:pos="142" w:leader="none"/>
        </w:tabs>
        <w:rPr>
          <w:sz w:val="22"/>
          <w:szCs w:val="22"/>
        </w:rPr>
      </w:pPr>
      <w:r>
        <w:rPr>
          <w:sz w:val="22"/>
          <w:szCs w:val="22"/>
        </w:rPr>
        <w:t xml:space="preserve">Работы по регулировке, необходимость которых возникла между регламентными техническими обслуживаниями, а также на устранение недостатков/поломок вследствие использования некачественных горюче-смазочных материалов;</w:t>
      </w:r>
      <w:r/>
    </w:p>
    <w:p>
      <w:pPr>
        <w:numPr>
          <w:ilvl w:val="0"/>
          <w:numId w:val="1"/>
        </w:numPr>
        <w:contextualSpacing w:val="true"/>
        <w:ind w:left="900"/>
        <w:jc w:val="both"/>
        <w:tabs>
          <w:tab w:val="left" w:pos="0" w:leader="none"/>
          <w:tab w:val="left" w:pos="142" w:leader="none"/>
        </w:tabs>
        <w:rPr>
          <w:sz w:val="22"/>
          <w:szCs w:val="22"/>
        </w:rPr>
      </w:pPr>
      <w:r>
        <w:rPr>
          <w:sz w:val="22"/>
          <w:szCs w:val="22"/>
        </w:rPr>
        <w:t xml:space="preserve">Детали, узлы и агрегаты Автомобиля, имеющие механические повреждения (в том числе, лобовое стекло с трещинами);</w:t>
      </w:r>
      <w:r/>
    </w:p>
    <w:p>
      <w:pPr>
        <w:numPr>
          <w:ilvl w:val="0"/>
          <w:numId w:val="1"/>
        </w:numPr>
        <w:contextualSpacing w:val="true"/>
        <w:ind w:left="900"/>
        <w:jc w:val="both"/>
        <w:tabs>
          <w:tab w:val="left" w:pos="142" w:leader="none"/>
        </w:tabs>
        <w:rPr>
          <w:sz w:val="22"/>
          <w:szCs w:val="22"/>
        </w:rPr>
      </w:pPr>
      <w:r>
        <w:rPr>
          <w:sz w:val="22"/>
          <w:szCs w:val="22"/>
        </w:rPr>
        <w:t xml:space="preserve">Огнетушитель, знак аварийной остановки и аптечку в случае их наличия в комплектации Автомобиля;</w:t>
      </w:r>
      <w:r/>
    </w:p>
    <w:p>
      <w:pPr>
        <w:numPr>
          <w:ilvl w:val="0"/>
          <w:numId w:val="1"/>
        </w:numPr>
        <w:contextualSpacing w:val="true"/>
        <w:ind w:left="900"/>
        <w:jc w:val="both"/>
        <w:tabs>
          <w:tab w:val="left" w:pos="0" w:leader="none"/>
          <w:tab w:val="left" w:pos="142" w:leader="none"/>
        </w:tabs>
        <w:rPr>
          <w:sz w:val="22"/>
          <w:szCs w:val="22"/>
        </w:rPr>
      </w:pPr>
      <w:r>
        <w:rPr>
          <w:sz w:val="22"/>
          <w:szCs w:val="22"/>
        </w:rPr>
        <w:t xml:space="preserve">На аккумуляторную батарею, вышедшая из строя по вине Покупателя (Собственника)</w:t>
      </w:r>
      <w:r>
        <w:rPr>
          <w:sz w:val="22"/>
          <w:szCs w:val="22"/>
        </w:rPr>
        <w:t xml:space="preserve"> вследствие не выключения устройств электропотребления при длительной стоянке, выполнения сварочных работ, запуска двигателя от постороннего источника напряжения, наличия препятствия исполнительным механизмам (примерзание, попадание посторонних предметов);</w:t>
      </w:r>
      <w:r/>
    </w:p>
    <w:p>
      <w:pPr>
        <w:numPr>
          <w:ilvl w:val="0"/>
          <w:numId w:val="1"/>
        </w:numPr>
        <w:contextualSpacing w:val="true"/>
        <w:ind w:left="900"/>
        <w:jc w:val="both"/>
        <w:tabs>
          <w:tab w:val="left" w:pos="142" w:leader="none"/>
        </w:tabs>
        <w:rPr>
          <w:sz w:val="22"/>
          <w:szCs w:val="22"/>
        </w:rPr>
      </w:pPr>
      <w:r>
        <w:rPr>
          <w:sz w:val="22"/>
          <w:szCs w:val="22"/>
        </w:rPr>
        <w:t xml:space="preserve">Повреждения вследствие попадания воды в составные детали узлов и агрегатов во время преодоления водных препятствий или стихийного бедствия.</w:t>
      </w:r>
      <w:r/>
    </w:p>
    <w:p>
      <w:pPr>
        <w:numPr>
          <w:ilvl w:val="0"/>
          <w:numId w:val="1"/>
        </w:numPr>
        <w:contextualSpacing w:val="true"/>
        <w:ind w:left="900"/>
        <w:jc w:val="both"/>
        <w:tabs>
          <w:tab w:val="left" w:pos="142" w:leader="none"/>
        </w:tabs>
        <w:rPr>
          <w:sz w:val="22"/>
          <w:szCs w:val="22"/>
        </w:rPr>
      </w:pPr>
      <w:r>
        <w:rPr>
          <w:sz w:val="22"/>
          <w:szCs w:val="22"/>
        </w:rPr>
        <w:t xml:space="preserve">Р</w:t>
      </w:r>
      <w:r>
        <w:rPr>
          <w:spacing w:val="-4"/>
          <w:sz w:val="22"/>
          <w:szCs w:val="22"/>
        </w:rPr>
        <w:t xml:space="preserve">асходы владельца Автомобиля, которые косвенно связаны с возникшими неисправностями Автомобиля: </w:t>
      </w:r>
      <w:r/>
    </w:p>
    <w:p>
      <w:pPr>
        <w:pStyle w:val="626"/>
        <w:ind w:left="1134" w:hanging="234"/>
        <w:jc w:val="both"/>
        <w:tabs>
          <w:tab w:val="left" w:pos="0" w:leader="none"/>
        </w:tabs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 xml:space="preserve">- расходы на питание и размещение в гостинице, на услуги телефонии/почты и другие расходы, понесённые владельцем из-за возникшей неисправности Автомобиля; </w:t>
      </w:r>
      <w:r/>
    </w:p>
    <w:p>
      <w:pPr>
        <w:pStyle w:val="626"/>
        <w:ind w:left="1134" w:hanging="234"/>
        <w:jc w:val="both"/>
        <w:tabs>
          <w:tab w:val="left" w:pos="0" w:leader="none"/>
        </w:tabs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 xml:space="preserve">- расходы по транспортировке автомобиля в сервисный центр;</w:t>
      </w:r>
      <w:r/>
    </w:p>
    <w:p>
      <w:pPr>
        <w:pStyle w:val="626"/>
        <w:ind w:left="1134" w:hanging="234"/>
        <w:jc w:val="both"/>
        <w:tabs>
          <w:tab w:val="left" w:pos="0" w:leader="none"/>
        </w:tabs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 xml:space="preserve">- расходы, связанные с </w:t>
      </w:r>
      <w:r>
        <w:rPr>
          <w:spacing w:val="-4"/>
          <w:sz w:val="22"/>
          <w:szCs w:val="22"/>
        </w:rPr>
        <w:t xml:space="preserve">травмированием</w:t>
      </w:r>
      <w:r>
        <w:rPr>
          <w:spacing w:val="-4"/>
          <w:sz w:val="22"/>
          <w:szCs w:val="22"/>
        </w:rPr>
        <w:t xml:space="preserve"> людей, а также компенсацией ущерба, связанного с повреждением или уничтожением имущества; </w:t>
      </w:r>
      <w:r/>
    </w:p>
    <w:p>
      <w:pPr>
        <w:pStyle w:val="626"/>
        <w:ind w:left="1134" w:hanging="234"/>
        <w:jc w:val="both"/>
        <w:tabs>
          <w:tab w:val="left" w:pos="0" w:leader="none"/>
        </w:tabs>
        <w:rPr>
          <w:sz w:val="22"/>
          <w:szCs w:val="22"/>
        </w:rPr>
      </w:pPr>
      <w:r>
        <w:rPr>
          <w:spacing w:val="-4"/>
          <w:sz w:val="22"/>
          <w:szCs w:val="22"/>
        </w:rPr>
        <w:t xml:space="preserve">- компенсацию потерянного времени, упущенной коммерческой выгоды, а также компенсация стоимости аренды другого автомобиля и гаража (стоянки) в период неисправности Автомобиля и нахождения неисправного Автомобиля в гарантийном ремонте.</w:t>
      </w:r>
      <w:r/>
    </w:p>
    <w:p>
      <w:pPr>
        <w:numPr>
          <w:ilvl w:val="1"/>
          <w:numId w:val="10"/>
        </w:numPr>
        <w:contextualSpacing w:val="true"/>
        <w:ind w:left="709" w:hanging="709"/>
        <w:jc w:val="both"/>
        <w:tabs>
          <w:tab w:val="left" w:pos="709" w:leader="none"/>
        </w:tabs>
        <w:rPr>
          <w:sz w:val="22"/>
          <w:szCs w:val="22"/>
        </w:rPr>
      </w:pPr>
      <w:r>
        <w:rPr>
          <w:sz w:val="22"/>
          <w:szCs w:val="22"/>
        </w:rPr>
        <w:t xml:space="preserve">При обнаружении каких-либо изъянов Автомобиля в период действия Гарантийных обязательств, Покупатель (Собственник) обязан обратиться к уполномоченному Дилеру. Заявление Покупателя (Собственника, представителя Собственника) на проведение гарантийного рем</w:t>
      </w:r>
      <w:r>
        <w:rPr>
          <w:sz w:val="22"/>
          <w:szCs w:val="22"/>
        </w:rPr>
        <w:t xml:space="preserve">онта автомобиля принимается в случае обязательного предоставления Сервисной книжки, оформленной и подписанной Продавцом, со всеми необходимыми печатями и отметками о выполнении предпродажной подготовки и прохождения регламентного технического обслуживания.</w:t>
      </w:r>
      <w:r/>
    </w:p>
    <w:p>
      <w:pPr>
        <w:numPr>
          <w:ilvl w:val="1"/>
          <w:numId w:val="10"/>
        </w:numPr>
        <w:contextualSpacing w:val="true"/>
        <w:ind w:left="709" w:hanging="567"/>
        <w:jc w:val="both"/>
        <w:tabs>
          <w:tab w:val="left" w:pos="709" w:leader="none"/>
        </w:tabs>
        <w:rPr>
          <w:sz w:val="22"/>
          <w:szCs w:val="22"/>
        </w:rPr>
      </w:pPr>
      <w:r>
        <w:rPr>
          <w:sz w:val="22"/>
          <w:szCs w:val="22"/>
        </w:rPr>
        <w:t xml:space="preserve">При проведении гарантийных работ уполномоченный Дилер самостоятельно реша</w:t>
      </w:r>
      <w:r>
        <w:rPr>
          <w:sz w:val="22"/>
          <w:szCs w:val="22"/>
        </w:rPr>
        <w:t xml:space="preserve">ет вопросы о необходимости выполнения ремонта, целесообразности замены деталей и способах выполнения гарантийного ремонта. Если дефектной является деталь узла, которая может быть заменена, гарантийные обязательства не распространяются на весь узел в целом.</w:t>
      </w:r>
      <w:r/>
    </w:p>
    <w:p>
      <w:pPr>
        <w:numPr>
          <w:ilvl w:val="1"/>
          <w:numId w:val="10"/>
        </w:numPr>
        <w:contextualSpacing w:val="true"/>
        <w:ind w:left="709" w:hanging="709"/>
        <w:jc w:val="both"/>
        <w:tabs>
          <w:tab w:val="left" w:pos="709" w:leader="none"/>
        </w:tabs>
        <w:rPr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Продавец вправе, по своему усмотрению, произвести ремонт без установления причин возникновения неисправности, в том числе в случаях, когда неисправность могла не являться следствием заводских дефектов качества товара.</w:t>
      </w:r>
      <w:r/>
    </w:p>
    <w:p>
      <w:pPr>
        <w:pStyle w:val="626"/>
        <w:numPr>
          <w:ilvl w:val="1"/>
          <w:numId w:val="10"/>
        </w:numPr>
        <w:ind w:left="709" w:hanging="709"/>
        <w:jc w:val="both"/>
        <w:tabs>
          <w:tab w:val="left" w:pos="709" w:leader="none"/>
        </w:tabs>
        <w:rPr>
          <w:color w:val="000000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Покупатель согласен, что выполнение Продавцом каких-либо ремонтов не является доказательством заводских дефектов качества товара.</w:t>
      </w:r>
      <w:r/>
    </w:p>
    <w:p>
      <w:pPr>
        <w:pStyle w:val="626"/>
        <w:numPr>
          <w:ilvl w:val="1"/>
          <w:numId w:val="10"/>
        </w:numPr>
        <w:ind w:left="709" w:hanging="709"/>
        <w:jc w:val="both"/>
        <w:tabs>
          <w:tab w:val="left" w:pos="709" w:leader="none"/>
        </w:tabs>
        <w:rPr>
          <w:color w:val="000000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При гарантийном ремонте устраняются все, дополнительно выявленные неисправности и отказы, при этом неполадки, возникшие по вине Клиента, устраняются при его ознакомлении и за его счет.</w:t>
      </w:r>
      <w:r/>
    </w:p>
    <w:p>
      <w:pPr>
        <w:pStyle w:val="626"/>
        <w:numPr>
          <w:ilvl w:val="1"/>
          <w:numId w:val="10"/>
        </w:numPr>
        <w:ind w:left="709" w:hanging="709"/>
        <w:jc w:val="both"/>
        <w:tabs>
          <w:tab w:val="left" w:pos="709" w:leader="none"/>
        </w:tabs>
        <w:rPr>
          <w:color w:val="000000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При несогласии клиента на проведения работ по устранению дополнительно возникших по его вине недостатков, угрожающих эксплуатации автомобиля, гарантийные обязательства изготовителя прекращаются, о чем сообщается официальным письмом.     </w:t>
      </w:r>
      <w:r/>
    </w:p>
    <w:p>
      <w:pPr>
        <w:pStyle w:val="626"/>
        <w:numPr>
          <w:ilvl w:val="1"/>
          <w:numId w:val="10"/>
        </w:numPr>
        <w:ind w:left="709" w:hanging="709"/>
        <w:jc w:val="both"/>
        <w:tabs>
          <w:tab w:val="left" w:pos="0" w:leader="none"/>
        </w:tabs>
        <w:rPr>
          <w:sz w:val="22"/>
          <w:szCs w:val="22"/>
        </w:rPr>
      </w:pPr>
      <w:r>
        <w:rPr>
          <w:sz w:val="22"/>
          <w:szCs w:val="22"/>
        </w:rPr>
        <w:t xml:space="preserve">Детали, замененные при гарантийном ремонте, передаются Производителю для дальнейшег</w:t>
      </w:r>
      <w:r>
        <w:rPr>
          <w:sz w:val="22"/>
          <w:szCs w:val="22"/>
        </w:rPr>
        <w:t xml:space="preserve">о технического осмотра. При признании гарантийного случая, неисправная деталь переходит в собственность Производителя. В случае отказа в признании гарантии, неисправная деталь может быть возвращена Покупателю(Собственнику) по его предварительному запросу. </w:t>
      </w:r>
      <w:r/>
    </w:p>
    <w:p>
      <w:pPr>
        <w:pStyle w:val="626"/>
        <w:numPr>
          <w:ilvl w:val="1"/>
          <w:numId w:val="10"/>
        </w:numPr>
        <w:ind w:left="709" w:hanging="709"/>
        <w:jc w:val="both"/>
        <w:tabs>
          <w:tab w:val="left" w:pos="0" w:leader="none"/>
        </w:tabs>
        <w:rPr>
          <w:sz w:val="22"/>
          <w:szCs w:val="22"/>
        </w:rPr>
      </w:pPr>
      <w:r>
        <w:rPr>
          <w:sz w:val="22"/>
          <w:szCs w:val="22"/>
        </w:rPr>
        <w:t xml:space="preserve">При замене по гарантии деталей, узлов и агрегатов гарантия на автомобиль не продляется.</w:t>
      </w:r>
      <w:r/>
    </w:p>
    <w:p>
      <w:pPr>
        <w:pStyle w:val="626"/>
        <w:ind w:left="709"/>
        <w:jc w:val="both"/>
        <w:tabs>
          <w:tab w:val="left" w:pos="709" w:leader="none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  <w:r/>
    </w:p>
    <w:p>
      <w:pPr>
        <w:pStyle w:val="626"/>
        <w:numPr>
          <w:ilvl w:val="0"/>
          <w:numId w:val="9"/>
        </w:numPr>
        <w:ind w:firstLine="0"/>
        <w:jc w:val="both"/>
        <w:spacing w:after="240" w:before="360"/>
        <w:tabs>
          <w:tab w:val="left" w:pos="360" w:leader="none"/>
          <w:tab w:val="left" w:pos="851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  <w:tab w:val="left" w:pos="10620" w:leader="none"/>
          <w:tab w:val="left" w:pos="11328" w:leader="none"/>
          <w:tab w:val="left" w:pos="12036" w:leader="none"/>
          <w:tab w:val="left" w:pos="12744" w:leader="none"/>
          <w:tab w:val="left" w:pos="13452" w:leader="none"/>
          <w:tab w:val="left" w:pos="14160" w:leader="none"/>
          <w:tab w:val="left" w:pos="14868" w:leader="none"/>
          <w:tab w:val="left" w:pos="15576" w:leader="none"/>
          <w:tab w:val="left" w:pos="16284" w:leader="none"/>
          <w:tab w:val="left" w:pos="16992" w:leader="none"/>
          <w:tab w:val="left" w:pos="17700" w:leader="none"/>
          <w:tab w:val="left" w:pos="18408" w:leader="none"/>
          <w:tab w:val="left" w:pos="19116" w:leader="none"/>
          <w:tab w:val="left" w:pos="19824" w:leader="none"/>
          <w:tab w:val="left" w:pos="20532" w:leader="none"/>
          <w:tab w:val="left" w:pos="21240" w:leader="none"/>
          <w:tab w:val="left" w:pos="21948" w:leader="none"/>
          <w:tab w:val="left" w:pos="22656" w:leader="none"/>
          <w:tab w:val="left" w:pos="23364" w:leader="none"/>
          <w:tab w:val="left" w:pos="24072" w:leader="none"/>
          <w:tab w:val="left" w:pos="24780" w:leader="none"/>
          <w:tab w:val="left" w:pos="25488" w:leader="none"/>
          <w:tab w:val="left" w:pos="26196" w:leader="none"/>
          <w:tab w:val="left" w:pos="26904" w:leader="none"/>
          <w:tab w:val="left" w:pos="27612" w:leader="none"/>
          <w:tab w:val="left" w:pos="28320" w:leader="none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Обязательства Покупателя (Собственника)</w:t>
      </w:r>
      <w:r/>
    </w:p>
    <w:p>
      <w:pPr>
        <w:pStyle w:val="626"/>
        <w:ind w:left="709" w:hanging="709"/>
        <w:jc w:val="both"/>
        <w:tabs>
          <w:tab w:val="left" w:pos="0" w:leader="none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3.1   Условия, которые Покупатель (Собственник) обязан выполнять для сохранения гарантии:</w:t>
      </w:r>
      <w:r/>
    </w:p>
    <w:p>
      <w:pPr>
        <w:pStyle w:val="626"/>
        <w:numPr>
          <w:ilvl w:val="1"/>
          <w:numId w:val="4"/>
        </w:numPr>
        <w:ind w:hanging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Перед началом эксплуатации Автомобиля внимательно ознакомиться с правилами его эксплуатации, изложенными в Руководстве по эксплуатации и Сервисной книжке, предоставленным Продавцом.</w:t>
      </w:r>
      <w:r/>
    </w:p>
    <w:p>
      <w:pPr>
        <w:pStyle w:val="626"/>
        <w:numPr>
          <w:ilvl w:val="1"/>
          <w:numId w:val="5"/>
        </w:numPr>
        <w:ind w:left="709" w:hanging="709"/>
        <w:jc w:val="both"/>
        <w:tabs>
          <w:tab w:val="left" w:pos="709" w:leader="none"/>
        </w:tabs>
        <w:rPr>
          <w:sz w:val="22"/>
          <w:szCs w:val="22"/>
        </w:rPr>
      </w:pPr>
      <w:r>
        <w:rPr>
          <w:sz w:val="22"/>
          <w:szCs w:val="22"/>
        </w:rPr>
        <w:t xml:space="preserve">В случае необходимости разъяснений условий и правил использования Автомобиля – до начала его использования обратиться за разъяснениями к Продавцу.</w:t>
      </w:r>
      <w:r/>
    </w:p>
    <w:p>
      <w:pPr>
        <w:pStyle w:val="626"/>
        <w:numPr>
          <w:ilvl w:val="1"/>
          <w:numId w:val="5"/>
        </w:numPr>
        <w:ind w:left="720" w:hanging="720"/>
        <w:jc w:val="both"/>
        <w:tabs>
          <w:tab w:val="left" w:pos="720" w:leader="none"/>
        </w:tabs>
        <w:rPr>
          <w:sz w:val="22"/>
          <w:szCs w:val="22"/>
        </w:rPr>
      </w:pPr>
      <w:r>
        <w:rPr>
          <w:sz w:val="22"/>
          <w:szCs w:val="22"/>
        </w:rPr>
        <w:t xml:space="preserve">Пользоваться Автомобилем согласно его целевому назначению и следовать условиям (требованиям, нормам, правилам), установленным Производителем в Руководстве по эксплуатации и Сервисной книжке.</w:t>
      </w:r>
      <w:r/>
    </w:p>
    <w:p>
      <w:pPr>
        <w:pStyle w:val="626"/>
        <w:numPr>
          <w:ilvl w:val="1"/>
          <w:numId w:val="6"/>
        </w:numPr>
        <w:ind w:left="709" w:hanging="709"/>
        <w:jc w:val="both"/>
        <w:tabs>
          <w:tab w:val="left" w:pos="709" w:leader="none"/>
        </w:tabs>
        <w:rPr>
          <w:sz w:val="22"/>
          <w:szCs w:val="22"/>
        </w:rPr>
      </w:pPr>
      <w:r>
        <w:rPr>
          <w:sz w:val="22"/>
          <w:szCs w:val="22"/>
        </w:rPr>
        <w:t xml:space="preserve">С целью предотвращения негативных для Покупателя(Собственника) последствий использования Автомобиля – использовать в Автомобиле предус</w:t>
      </w:r>
      <w:r>
        <w:rPr>
          <w:sz w:val="22"/>
          <w:szCs w:val="22"/>
        </w:rPr>
        <w:t xml:space="preserve">мотренные производителем средства безопасности с соблюдением предусмотренных эксплуатационной документацией специальных правил, а в случае отсутствия таких правил в документации – соблюдать обычные разумные меры безопасности, установленные для автомобилей.</w:t>
      </w:r>
      <w:r/>
    </w:p>
    <w:p>
      <w:pPr>
        <w:pStyle w:val="626"/>
        <w:numPr>
          <w:ilvl w:val="1"/>
          <w:numId w:val="6"/>
        </w:numPr>
        <w:ind w:left="720" w:hanging="720"/>
        <w:jc w:val="both"/>
        <w:tabs>
          <w:tab w:val="left" w:pos="709" w:leader="none"/>
        </w:tabs>
        <w:rPr>
          <w:sz w:val="22"/>
          <w:szCs w:val="22"/>
        </w:rPr>
      </w:pPr>
      <w:r>
        <w:rPr>
          <w:sz w:val="22"/>
          <w:szCs w:val="22"/>
        </w:rPr>
        <w:t xml:space="preserve">Выполнять все рекомендации Производителя (Продавца) по соблюдению периодичности и регламента технического обслуживания, указанных в Сервисной книжке, и обеспечивать </w:t>
      </w:r>
      <w:r>
        <w:rPr>
          <w:sz w:val="22"/>
          <w:szCs w:val="22"/>
        </w:rPr>
        <w:t xml:space="preserve">своевременное (в сроки, указанные в Сервисной книжке) прохождение технического обслуживания (ремонта) или установку дополнительного оборудования только на сервисных центрах уполномоченных Дилеров, указанных в Сервисной книжке.</w:t>
      </w:r>
      <w:r/>
    </w:p>
    <w:p>
      <w:pPr>
        <w:pStyle w:val="626"/>
        <w:numPr>
          <w:ilvl w:val="1"/>
          <w:numId w:val="6"/>
        </w:numPr>
        <w:ind w:left="720" w:hanging="720"/>
        <w:jc w:val="both"/>
        <w:tabs>
          <w:tab w:val="left" w:pos="709" w:leader="none"/>
        </w:tabs>
        <w:rPr>
          <w:sz w:val="22"/>
          <w:szCs w:val="22"/>
        </w:rPr>
      </w:pPr>
      <w:r>
        <w:rPr>
          <w:sz w:val="22"/>
          <w:szCs w:val="22"/>
        </w:rPr>
        <w:t xml:space="preserve">При обнаружении каких-либо неисправностей или дефектов одной или нескольких деталей, на которые распространяются Гарантийные обязательства Продавца (Производителя), немедленно обратиться в сервисный ц</w:t>
      </w:r>
      <w:r>
        <w:rPr>
          <w:sz w:val="22"/>
          <w:szCs w:val="22"/>
        </w:rPr>
        <w:t xml:space="preserve">ентр уполномоченного Дилера, указанного в Сервисной книжке, прекратить эксплуатацию неисправного Автомобиля и выполнять все указания, полученные от инженера по гарантии сервисного центра или другого уполномоченного работника до начала гарантийного ремонта.</w:t>
      </w:r>
      <w:r/>
    </w:p>
    <w:p>
      <w:pPr>
        <w:pStyle w:val="626"/>
        <w:numPr>
          <w:ilvl w:val="1"/>
          <w:numId w:val="6"/>
        </w:numPr>
        <w:ind w:left="720" w:hanging="720"/>
        <w:jc w:val="both"/>
        <w:tabs>
          <w:tab w:val="left" w:pos="709" w:leader="none"/>
        </w:tabs>
        <w:rPr>
          <w:sz w:val="22"/>
          <w:szCs w:val="22"/>
        </w:rPr>
      </w:pPr>
      <w:r>
        <w:rPr>
          <w:sz w:val="22"/>
          <w:szCs w:val="22"/>
        </w:rPr>
        <w:t xml:space="preserve">Не допускать собственного вмешательства и вмешательства третьих лиц в конструкцию Автомобиля и показатели счётчика пройденного ним пути (километража).</w:t>
      </w:r>
      <w:r/>
    </w:p>
    <w:p>
      <w:pPr>
        <w:pStyle w:val="626"/>
        <w:numPr>
          <w:ilvl w:val="1"/>
          <w:numId w:val="6"/>
        </w:numPr>
        <w:ind w:left="720" w:hanging="720"/>
        <w:jc w:val="both"/>
        <w:tabs>
          <w:tab w:val="left" w:pos="709" w:leader="none"/>
        </w:tabs>
        <w:rPr>
          <w:sz w:val="22"/>
          <w:szCs w:val="22"/>
        </w:rPr>
      </w:pPr>
      <w:r>
        <w:rPr>
          <w:sz w:val="22"/>
          <w:szCs w:val="22"/>
        </w:rPr>
        <w:t xml:space="preserve">По требованию инженера по гарантии или другого уполномо</w:t>
      </w:r>
      <w:r>
        <w:rPr>
          <w:sz w:val="22"/>
          <w:szCs w:val="22"/>
        </w:rPr>
        <w:t xml:space="preserve">ченного работника сервисного центра Дилера, указанного в Сервисной книжке, предоставить Сервисную книжку с отметками, подтверждающими выполнение всех обязательных работ по техническому обслуживанию Автомобиля с начала гарантийного периода его эксплуатации.</w:t>
      </w:r>
      <w:r/>
    </w:p>
    <w:p>
      <w:pPr>
        <w:pStyle w:val="626"/>
        <w:numPr>
          <w:ilvl w:val="1"/>
          <w:numId w:val="6"/>
        </w:numPr>
        <w:ind w:left="720" w:hanging="720"/>
        <w:jc w:val="both"/>
        <w:tabs>
          <w:tab w:val="left" w:pos="709" w:leader="none"/>
        </w:tabs>
        <w:rPr>
          <w:sz w:val="22"/>
          <w:szCs w:val="22"/>
        </w:rPr>
      </w:pPr>
      <w:r>
        <w:rPr>
          <w:sz w:val="22"/>
          <w:szCs w:val="22"/>
        </w:rPr>
        <w:t xml:space="preserve">Предо</w:t>
      </w:r>
      <w:r>
        <w:rPr>
          <w:sz w:val="22"/>
          <w:szCs w:val="22"/>
        </w:rPr>
        <w:t xml:space="preserve">ставить Автомобиль ответственным работникам сервисной службы Дилера, указанного в Сервисной книжке, для проведения технического осмотра и диагностики неисправного Автомобиля с целью выявления причины, которая повлияла на появление неисправности Автомобиля.</w:t>
      </w:r>
      <w:r/>
    </w:p>
    <w:p>
      <w:pPr>
        <w:contextualSpacing w:val="true"/>
        <w:jc w:val="both"/>
        <w:tabs>
          <w:tab w:val="left" w:pos="709" w:leader="none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В случае утери Сервисной книжки, Покупатель (Собственник) имеет право получить дубликат Сервисной книжки взамен утерянной. </w:t>
      </w:r>
      <w:r>
        <w:rPr>
          <w:sz w:val="22"/>
          <w:szCs w:val="22"/>
        </w:rPr>
        <w:tab/>
        <w:t xml:space="preserve">В э</w:t>
      </w:r>
      <w:r>
        <w:rPr>
          <w:sz w:val="22"/>
          <w:szCs w:val="22"/>
          <w:lang w:val="uk-UA"/>
        </w:rPr>
        <w:t xml:space="preserve">том </w:t>
      </w:r>
      <w:r>
        <w:rPr>
          <w:sz w:val="22"/>
          <w:szCs w:val="22"/>
        </w:rPr>
        <w:t xml:space="preserve">случае Дилер обязан уведомить Дистрибьютора, а также проверить, является ли данный Автомобиль гарантийным. После выдачи дубликата Сервисной книжки Дилер заполняет всю необходимую информацию, а также ставит отметки обо всех пройденных ТО. </w:t>
      </w:r>
      <w:r>
        <w:rPr>
          <w:sz w:val="22"/>
          <w:szCs w:val="22"/>
        </w:rPr>
        <w:tab/>
        <w:t xml:space="preserve">В случае если Покупатель (Собственник) проходил, ТО на разных предприятиях, восстановление всех отметок о прохождении регламентных ТО обязан осуществить Покупатель (Собственник).</w:t>
      </w:r>
      <w:r/>
    </w:p>
    <w:p>
      <w:pPr>
        <w:contextualSpacing w:val="true"/>
        <w:jc w:val="both"/>
        <w:tabs>
          <w:tab w:val="left" w:pos="709" w:leader="none"/>
        </w:tabs>
        <w:rPr>
          <w:sz w:val="22"/>
          <w:szCs w:val="22"/>
        </w:rPr>
      </w:pPr>
      <w:r>
        <w:rPr>
          <w:b/>
          <w:caps/>
          <w:sz w:val="22"/>
          <w:szCs w:val="22"/>
        </w:rPr>
        <w:t xml:space="preserve">ВАЖНО!</w:t>
      </w:r>
      <w:r/>
    </w:p>
    <w:p>
      <w:pPr>
        <w:pStyle w:val="626"/>
        <w:numPr>
          <w:ilvl w:val="0"/>
          <w:numId w:val="12"/>
        </w:numPr>
        <w:ind w:left="426"/>
        <w:jc w:val="both"/>
        <w:spacing w:before="240"/>
        <w:tabs>
          <w:tab w:val="left" w:pos="0" w:leader="none"/>
        </w:tabs>
        <w:rPr>
          <w:caps/>
          <w:sz w:val="22"/>
          <w:szCs w:val="22"/>
        </w:rPr>
      </w:pPr>
      <w:r>
        <w:rPr>
          <w:sz w:val="22"/>
          <w:szCs w:val="22"/>
        </w:rPr>
        <w:t xml:space="preserve">В случае невыполнения Покупателем (Собственником) своих обязательств и иных требований Продавца (Производителя), указанных в Гарантийных обязательствах, инженер по гарантии сервисного центра упол</w:t>
      </w:r>
      <w:r>
        <w:rPr>
          <w:sz w:val="22"/>
          <w:szCs w:val="22"/>
        </w:rPr>
        <w:t xml:space="preserve">номоченного Дилера, указанного в Сервисной книжке, имеет право прекратить действие Гарантийных обязательств Продавца, сделав об этом обязательную отметку в Сервисной книжке с указанием причины снятия Автомобиля (или его агрегата, узла, системы) с гарантии.</w:t>
      </w:r>
      <w:r/>
    </w:p>
    <w:p>
      <w:pPr>
        <w:pStyle w:val="626"/>
        <w:numPr>
          <w:ilvl w:val="0"/>
          <w:numId w:val="12"/>
        </w:numPr>
        <w:ind w:left="426"/>
        <w:jc w:val="both"/>
        <w:spacing w:before="240"/>
        <w:tabs>
          <w:tab w:val="left" w:pos="0" w:leader="none"/>
        </w:tabs>
        <w:rPr>
          <w:caps/>
          <w:sz w:val="22"/>
          <w:szCs w:val="22"/>
        </w:rPr>
      </w:pPr>
      <w:r>
        <w:rPr>
          <w:sz w:val="22"/>
          <w:szCs w:val="22"/>
        </w:rPr>
        <w:t xml:space="preserve">Выполнение регламентного сервисного обслуживания автомобиля (ТО) выполняются платно, за счет Покупателя (Собственника).</w:t>
      </w:r>
      <w:r/>
    </w:p>
    <w:p>
      <w:r>
        <w:rPr>
          <w:sz w:val="22"/>
          <w:szCs w:val="22"/>
        </w:rPr>
        <w:t xml:space="preserve">Отсутствие сервисной книжки у владельца, является основанием для отказа в гарантийном ремонте</w:t>
      </w:r>
      <w:bookmarkStart w:id="0" w:name="_GoBack"/>
      <w:r/>
      <w:bookmarkEnd w:id="0"/>
      <w:r/>
      <w:r/>
    </w:p>
    <w:sectPr>
      <w:footnotePr/>
      <w:endnotePr/>
      <w:type w:val="nextPage"/>
      <w:pgSz w:w="11900" w:h="16840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4090202050204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lowerLetter"/>
      <w:isLgl w:val="false"/>
      <w:suff w:val="tab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multiLevelType w:val="hybridMultilevel"/>
    <w:lvl w:ilvl="0">
      <w:start w:val="3"/>
      <w:numFmt w:val="decimal"/>
      <w:isLgl w:val="false"/>
      <w:suff w:val="tab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 w:val="false"/>
      <w:suff w:val="tab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">
    <w:multiLevelType w:val="hybridMultilevel"/>
    <w:lvl w:ilvl="0">
      <w:start w:val="3"/>
      <w:numFmt w:val="decimal"/>
      <w:isLgl w:val="false"/>
      <w:suff w:val="tab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lowerLetter"/>
      <w:isLgl w:val="false"/>
      <w:suff w:val="tab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 w:val="false"/>
      <w:suff w:val="tab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multiLevelType w:val="hybridMultilevel"/>
    <w:lvl w:ilvl="0">
      <w:start w:val="1"/>
      <w:numFmt w:val="lowerLetter"/>
      <w:isLgl w:val="false"/>
      <w:suff w:val="tab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multiLevelType w:val="hybridMultilevel"/>
    <w:lvl w:ilvl="0">
      <w:start w:val="2"/>
      <w:numFmt w:val="decimal"/>
      <w:isLgl w:val="false"/>
      <w:suff w:val="tab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 w:val="false"/>
      <w:suff w:val="tab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 w:val="false"/>
      <w:suff w:val="tab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lowerLetter"/>
      <w:isLgl w:val="false"/>
      <w:suff w:val="tab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"/>
      <w:numFmt w:val="lowerLetter"/>
      <w:isLgl w:val="false"/>
      <w:suff w:val="tab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 w:val="false"/>
      <w:suff w:val="tab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 w:val="false"/>
      <w:suff w:val="tab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9">
    <w:multiLevelType w:val="hybridMultilevel"/>
    <w:lvl w:ilvl="0">
      <w:start w:val="1"/>
      <w:numFmt w:val="upperRoman"/>
      <w:isLgl w:val="false"/>
      <w:suff w:val="tab"/>
      <w:lvlText w:val="%1."/>
      <w:lvlJc w:val="right"/>
      <w:pPr>
        <w:ind w:left="720" w:hanging="360"/>
      </w:pPr>
      <w:rPr>
        <w:rFonts w:hint="default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0">
    <w:multiLevelType w:val="hybridMultilevel"/>
    <w:lvl w:ilvl="0">
      <w:start w:val="1"/>
      <w:numFmt w:val="lowerLetter"/>
      <w:isLgl w:val="false"/>
      <w:suff w:val="tab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multiLevelType w:val="hybridMultilevel"/>
    <w:lvl w:ilvl="0">
      <w:start w:val="2"/>
      <w:numFmt w:val="upperRoman"/>
      <w:isLgl w:val="false"/>
      <w:suff w:val="tab"/>
      <w:lvlText w:val="%1."/>
      <w:lvlJc w:val="right"/>
      <w:pPr>
        <w:ind w:left="360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 w:val="false"/>
      <w:suff w:val="tab"/>
      <w:lvlText w:val="15.%2."/>
      <w:lvlJc w:val="left"/>
      <w:pPr>
        <w:ind w:left="720" w:hanging="720"/>
      </w:pPr>
      <w:rPr>
        <w:rFonts w:hint="default"/>
        <w:b/>
        <w:color w:val="auto"/>
        <w:sz w:val="22"/>
        <w:szCs w:val="22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1"/>
  </w:num>
  <w:num w:numId="5">
    <w:abstractNumId w:val="5"/>
  </w:num>
  <w:num w:numId="6">
    <w:abstractNumId w:val="2"/>
  </w:num>
  <w:num w:numId="7">
    <w:abstractNumId w:val="7"/>
  </w:num>
  <w:num w:numId="8">
    <w:abstractNumId w:val="10"/>
  </w:num>
  <w:num w:numId="9">
    <w:abstractNumId w:val="11"/>
  </w:num>
  <w:num w:numId="10">
    <w:abstractNumId w:val="4"/>
  </w:num>
  <w:num w:numId="11">
    <w:abstractNumId w:val="9"/>
  </w:num>
  <w:num w:numId="12">
    <w:abstractNumId w:val="6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4"/>
        <w:szCs w:val="24"/>
        <w:lang w:val="ru-RU" w:bidi="ar-SA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622"/>
    <w:next w:val="622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623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622"/>
    <w:next w:val="622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623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622"/>
    <w:next w:val="622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623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22"/>
    <w:next w:val="622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623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22"/>
    <w:next w:val="622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623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22"/>
    <w:next w:val="622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623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22"/>
    <w:next w:val="622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623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22"/>
    <w:next w:val="622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623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22"/>
    <w:next w:val="622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623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2">
    <w:name w:val="Title"/>
    <w:basedOn w:val="622"/>
    <w:next w:val="622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623"/>
    <w:link w:val="32"/>
    <w:uiPriority w:val="10"/>
    <w:rPr>
      <w:sz w:val="48"/>
      <w:szCs w:val="48"/>
    </w:rPr>
  </w:style>
  <w:style w:type="paragraph" w:styleId="34">
    <w:name w:val="Subtitle"/>
    <w:basedOn w:val="622"/>
    <w:next w:val="622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623"/>
    <w:link w:val="34"/>
    <w:uiPriority w:val="11"/>
    <w:rPr>
      <w:sz w:val="24"/>
      <w:szCs w:val="24"/>
    </w:rPr>
  </w:style>
  <w:style w:type="paragraph" w:styleId="36">
    <w:name w:val="Quote"/>
    <w:basedOn w:val="622"/>
    <w:next w:val="622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22"/>
    <w:next w:val="622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622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623"/>
    <w:link w:val="40"/>
    <w:uiPriority w:val="99"/>
  </w:style>
  <w:style w:type="paragraph" w:styleId="42">
    <w:name w:val="Footer"/>
    <w:basedOn w:val="622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623"/>
    <w:link w:val="42"/>
    <w:uiPriority w:val="99"/>
  </w:style>
  <w:style w:type="paragraph" w:styleId="44">
    <w:name w:val="Caption"/>
    <w:basedOn w:val="622"/>
    <w:next w:val="622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624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62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2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24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62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62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62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62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62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62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62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146">
    <w:name w:val="List Table 7 Colorful - Accent 2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150">
    <w:name w:val="List Table 7 Colorful - Accent 6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6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2">
    <w:name w:val="Lined - Accent 1"/>
    <w:basedOn w:val="6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53">
    <w:name w:val="Lined - Accent 2"/>
    <w:basedOn w:val="6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54">
    <w:name w:val="Lined - Accent 3"/>
    <w:basedOn w:val="6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55">
    <w:name w:val="Lined - Accent 4"/>
    <w:basedOn w:val="6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56">
    <w:name w:val="Lined - Accent 5"/>
    <w:basedOn w:val="6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57">
    <w:name w:val="Lined - Accent 6"/>
    <w:basedOn w:val="6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58">
    <w:name w:val="Bordered &amp; Lined - Accent"/>
    <w:basedOn w:val="6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9">
    <w:name w:val="Bordered &amp; Lined - Accent 1"/>
    <w:basedOn w:val="6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60">
    <w:name w:val="Bordered &amp; Lined - Accent 2"/>
    <w:basedOn w:val="6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61">
    <w:name w:val="Bordered &amp; Lined - Accent 3"/>
    <w:basedOn w:val="6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62">
    <w:name w:val="Bordered &amp; Lined - Accent 4"/>
    <w:basedOn w:val="6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63">
    <w:name w:val="Bordered &amp; Lined - Accent 5"/>
    <w:basedOn w:val="6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64">
    <w:name w:val="Bordered &amp; Lined - Accent 6"/>
    <w:basedOn w:val="6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65">
    <w:name w:val="Bordered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622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623"/>
    <w:uiPriority w:val="99"/>
    <w:unhideWhenUsed/>
    <w:rPr>
      <w:vertAlign w:val="superscript"/>
    </w:rPr>
  </w:style>
  <w:style w:type="paragraph" w:styleId="176">
    <w:name w:val="endnote text"/>
    <w:basedOn w:val="622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23"/>
    <w:uiPriority w:val="99"/>
    <w:semiHidden/>
    <w:unhideWhenUsed/>
    <w:rPr>
      <w:vertAlign w:val="superscript"/>
    </w:rPr>
  </w:style>
  <w:style w:type="paragraph" w:styleId="179">
    <w:name w:val="toc 1"/>
    <w:basedOn w:val="622"/>
    <w:next w:val="622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22"/>
    <w:next w:val="622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22"/>
    <w:next w:val="622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22"/>
    <w:next w:val="622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22"/>
    <w:next w:val="622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22"/>
    <w:next w:val="622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22"/>
    <w:next w:val="622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22"/>
    <w:next w:val="622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22"/>
    <w:next w:val="622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22"/>
    <w:next w:val="622"/>
    <w:uiPriority w:val="99"/>
    <w:unhideWhenUsed/>
    <w:pPr>
      <w:spacing w:after="0" w:afterAutospacing="0"/>
    </w:pPr>
  </w:style>
  <w:style w:type="paragraph" w:styleId="622" w:default="1">
    <w:name w:val="Normal"/>
    <w:qFormat/>
    <w:rPr>
      <w:rFonts w:ascii="Times New Roman" w:hAnsi="Times New Roman" w:cs="Times New Roman" w:eastAsia="Times New Roman"/>
      <w:color w:val="00000A"/>
      <w:lang w:eastAsia="zh-CN"/>
    </w:rPr>
  </w:style>
  <w:style w:type="character" w:styleId="623" w:default="1">
    <w:name w:val="Default Paragraph Font"/>
    <w:uiPriority w:val="1"/>
    <w:semiHidden/>
    <w:unhideWhenUsed/>
  </w:style>
  <w:style w:type="table" w:styleId="62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25" w:default="1">
    <w:name w:val="No List"/>
    <w:uiPriority w:val="99"/>
    <w:semiHidden/>
    <w:unhideWhenUsed/>
  </w:style>
  <w:style w:type="paragraph" w:styleId="626">
    <w:name w:val="List Paragraph"/>
    <w:basedOn w:val="622"/>
    <w:qFormat/>
    <w:uiPriority w:val="34"/>
    <w:pPr>
      <w:contextualSpacing w:val="true"/>
      <w:ind w:left="720"/>
    </w:pPr>
  </w:style>
  <w:style w:type="paragraph" w:styleId="627">
    <w:name w:val="No Spacing"/>
    <w:qFormat/>
    <w:uiPriority w:val="1"/>
    <w:rPr>
      <w:rFonts w:ascii="Times New Roman" w:hAnsi="Times New Roman" w:cs="Times New Roman" w:eastAsia="Times New Roman"/>
      <w:color w:val="00000A"/>
      <w:lang w:eastAsia="zh-CN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ONLYOFFICE/6.3.2.2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Вавилов Вадим</cp:lastModifiedBy>
  <cp:revision>2</cp:revision>
  <dcterms:created xsi:type="dcterms:W3CDTF">2021-10-08T10:13:00Z</dcterms:created>
  <dcterms:modified xsi:type="dcterms:W3CDTF">2021-10-26T13:09:39Z</dcterms:modified>
</cp:coreProperties>
</file>